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35" w:rsidRDefault="00E77235">
      <w:pPr>
        <w:pStyle w:val="ConsPlusNonformat"/>
        <w:jc w:val="both"/>
      </w:pPr>
      <w:bookmarkStart w:id="0" w:name="_GoBack"/>
      <w:bookmarkEnd w:id="0"/>
      <w:r>
        <w:t xml:space="preserve">                                                   УТВЕРЖДЕНО</w:t>
      </w:r>
    </w:p>
    <w:p w:rsidR="00E77235" w:rsidRDefault="00E77235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E77235" w:rsidRDefault="00E77235">
      <w:pPr>
        <w:pStyle w:val="ConsPlusNonformat"/>
        <w:jc w:val="both"/>
      </w:pPr>
      <w:r>
        <w:t xml:space="preserve">                                                   Национального</w:t>
      </w:r>
    </w:p>
    <w:p w:rsidR="00E77235" w:rsidRDefault="00E77235">
      <w:pPr>
        <w:pStyle w:val="ConsPlusNonformat"/>
        <w:jc w:val="both"/>
      </w:pPr>
      <w:r>
        <w:t xml:space="preserve">                                                   статистического комитета</w:t>
      </w:r>
    </w:p>
    <w:p w:rsidR="00E77235" w:rsidRDefault="00E77235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E77235" w:rsidRDefault="00E77235">
      <w:pPr>
        <w:pStyle w:val="ConsPlusNonformat"/>
        <w:jc w:val="both"/>
      </w:pPr>
      <w:r>
        <w:t xml:space="preserve">                                                   30.09.2022 N 90</w:t>
      </w:r>
    </w:p>
    <w:p w:rsidR="00E77235" w:rsidRDefault="00E77235">
      <w:pPr>
        <w:pStyle w:val="ConsPlusNormal"/>
      </w:pPr>
    </w:p>
    <w:p w:rsidR="00E77235" w:rsidRDefault="00E77235">
      <w:pPr>
        <w:pStyle w:val="ConsPlusTitle"/>
        <w:jc w:val="center"/>
      </w:pPr>
      <w:bookmarkStart w:id="1" w:name="P494"/>
      <w:bookmarkEnd w:id="1"/>
      <w:r>
        <w:t>УКАЗАНИЯ</w:t>
      </w:r>
    </w:p>
    <w:p w:rsidR="00E77235" w:rsidRDefault="00E77235">
      <w:pPr>
        <w:pStyle w:val="ConsPlusTitle"/>
        <w:jc w:val="center"/>
      </w:pPr>
      <w:r>
        <w:t>ПО ЗАПОЛНЕНИЮ ФОРМЫ ГОСУДАРСТВЕННОЙ СТАТИСТИЧЕСКОЙ ОТЧЕТНОСТИ 1-ОТХОДЫ (МИНПРИРОДЫ) "ОТЧЕТ ОБ ОБРАЩЕНИИ С ОТХОДАМИ ПРОИЗВОДСТВА"</w:t>
      </w:r>
    </w:p>
    <w:p w:rsidR="00E77235" w:rsidRDefault="00E7723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7723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235" w:rsidRDefault="00E7723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235" w:rsidRDefault="00E7723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7235" w:rsidRDefault="00E7723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Белстата</w:t>
            </w:r>
            <w:proofErr w:type="spellEnd"/>
            <w:r>
              <w:rPr>
                <w:color w:val="392C69"/>
              </w:rPr>
              <w:t xml:space="preserve"> от 11.10.2023 N 132)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235" w:rsidRDefault="00E77235">
            <w:pPr>
              <w:pStyle w:val="ConsPlusNormal"/>
            </w:pPr>
          </w:p>
        </w:tc>
      </w:tr>
    </w:tbl>
    <w:p w:rsidR="00E77235" w:rsidRDefault="00E77235">
      <w:pPr>
        <w:pStyle w:val="ConsPlusNormal"/>
      </w:pPr>
    </w:p>
    <w:p w:rsidR="00E77235" w:rsidRDefault="00E77235">
      <w:pPr>
        <w:pStyle w:val="ConsPlusNormal"/>
        <w:jc w:val="center"/>
        <w:outlineLvl w:val="1"/>
      </w:pPr>
      <w:r>
        <w:rPr>
          <w:b/>
        </w:rPr>
        <w:t>ГЛАВА 1</w:t>
      </w:r>
    </w:p>
    <w:p w:rsidR="00E77235" w:rsidRDefault="00E77235">
      <w:pPr>
        <w:pStyle w:val="ConsPlusNormal"/>
        <w:jc w:val="center"/>
      </w:pPr>
      <w:r>
        <w:rPr>
          <w:b/>
        </w:rPr>
        <w:t>ОБЩИЕ ПОЛОЖЕНИЯ</w:t>
      </w:r>
    </w:p>
    <w:p w:rsidR="00E77235" w:rsidRDefault="00E77235">
      <w:pPr>
        <w:pStyle w:val="ConsPlusNormal"/>
      </w:pPr>
    </w:p>
    <w:p w:rsidR="00E77235" w:rsidRDefault="00E77235">
      <w:pPr>
        <w:pStyle w:val="ConsPlusNormal"/>
        <w:ind w:firstLine="540"/>
        <w:jc w:val="both"/>
      </w:pPr>
      <w:r>
        <w:t xml:space="preserve">1. Государственную статистическую </w:t>
      </w:r>
      <w:hyperlink w:anchor="P39">
        <w:r>
          <w:rPr>
            <w:color w:val="0000FF"/>
          </w:rPr>
          <w:t>отчетность</w:t>
        </w:r>
      </w:hyperlink>
      <w:r>
        <w:t xml:space="preserve"> по форме 1-отходы (Минприроды) "Отчет об обращении с отходами производства" (далее - отчет) представляют юридические лица, обособленные подразделения юридических лиц, осуществляющие деятельность, связанную с обращением с отходами производства (кроме юридических лиц, обособленных подразделений юридических лиц, у которых образуются только отходы производства, подобные отходам жизнедеятельности населения, отходы бумаги и картона от канцелярской деятельности и делопроизводства, отходы упаковочных бумаги, картона, </w:t>
      </w:r>
      <w:proofErr w:type="spellStart"/>
      <w:r>
        <w:t>гофрокартона</w:t>
      </w:r>
      <w:proofErr w:type="spellEnd"/>
      <w:r>
        <w:t xml:space="preserve"> незагрязненные, люминесцентные трубки отработанные, компактные люминесцентные лампы (энергосберегающие) отработанные, ртутные лампы отработанные, при общем объеме таких отходов 50 и менее тонн в год).</w:t>
      </w:r>
    </w:p>
    <w:p w:rsidR="00E77235" w:rsidRDefault="00E77235">
      <w:pPr>
        <w:pStyle w:val="ConsPlusNormal"/>
        <w:jc w:val="both"/>
      </w:pPr>
      <w:r>
        <w:t xml:space="preserve">(в ред. </w:t>
      </w:r>
      <w:hyperlink r:id="rId5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11.10.2023 N 132)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2. Юридические лица, обособленные подразделения юридических лиц составляют отчет, включая данные по входящим в их структуру подразделениям, расположенным на одной с ними территории (район области, город областного подчинения, город Минск).</w:t>
      </w:r>
    </w:p>
    <w:p w:rsidR="00E77235" w:rsidRDefault="00E77235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11.10.2023 N 132)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Юридические лица, обособленные подразделения юридических лиц, в структуре которых имеются подразделения, расположенные на другой территории (район области, город областного подчинения, город Минск), составляют отдельный отчет по всем структурным подразделениям, находящимся в пределах одной территории, при этом в </w:t>
      </w:r>
      <w:hyperlink w:anchor="P67">
        <w:r>
          <w:rPr>
            <w:color w:val="0000FF"/>
          </w:rPr>
          <w:t>графе 3</w:t>
        </w:r>
      </w:hyperlink>
      <w:r>
        <w:t xml:space="preserve"> реквизита "Сведения о респонденте" указывается фактическое место нахождения данных подразделений (наименование района, города областного подчинения, город Минск).</w:t>
      </w:r>
    </w:p>
    <w:p w:rsidR="00E77235" w:rsidRDefault="00E77235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11.10.2023 N 132)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В случае образования отходов производства (далее, если не определено иное, - отходы) при эксплуатации арендованных зданий, сооружений и других объектов отчет представляется: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организацией, на которую договором возложена обязанность обеспечивать сбор, хранение, захоронение отходов;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организацией, у которой образуются отходы, - в случае отсутствия договора, по которому обеспечивается сбор, хранение, захоронение отходов.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3. 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http://www.belstat.gov.by.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lastRenderedPageBreak/>
        <w:t>4. В отчете не отражаются данные об объемах: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радиоактивных отходов;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продуктов животного происхождения;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лома и отходов черных металлов (кроме отходов, содержащих или загрязненных полихлорированными бифенилами (далее - ПХБ);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лома и отходов цветных металлов (кроме отработанных свинцовых аккумуляторов, а также отходов, содержащих или загрязненных ПХБ);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отходов потребления.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5. Отчет заполняется на основании данных следующих первичных учетных и иных документов: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книги учета отходов (форма ПОД-9) и книги общего учета отходов (форма ПОД-10) согласно </w:t>
      </w:r>
      <w:hyperlink r:id="rId8">
        <w:r>
          <w:rPr>
            <w:color w:val="0000FF"/>
          </w:rPr>
          <w:t>приложению 6</w:t>
        </w:r>
      </w:hyperlink>
      <w:r>
        <w:t xml:space="preserve"> к экологическим нормам и правилам </w:t>
      </w:r>
      <w:proofErr w:type="spellStart"/>
      <w:r>
        <w:t>ЭкоНиП</w:t>
      </w:r>
      <w:proofErr w:type="spellEnd"/>
      <w:r>
        <w:t xml:space="preserve"> 17.01.06-001-2017 "Охрана окружающей среды и природопользование. Требования экологической безопасности", утвержденным постановлением Министерства природных ресурсов и охраны окружающей среды Республики Беларусь от 18 июля 2017 г. N 5-Т (далее - </w:t>
      </w:r>
      <w:proofErr w:type="spellStart"/>
      <w:r>
        <w:t>ЭкоНиП</w:t>
      </w:r>
      <w:proofErr w:type="spellEnd"/>
      <w:r>
        <w:t>);</w:t>
      </w:r>
    </w:p>
    <w:p w:rsidR="00E77235" w:rsidRDefault="00E77235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11.10.2023 N 132)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акта инвентаризации отходов производства по </w:t>
      </w:r>
      <w:hyperlink r:id="rId10">
        <w:r>
          <w:rPr>
            <w:color w:val="0000FF"/>
          </w:rPr>
          <w:t>форме</w:t>
        </w:r>
      </w:hyperlink>
      <w:r>
        <w:t xml:space="preserve"> согласно приложению 3 к Инструкции о порядке инвентаризации отходов производства, утвержденной постановлением Министерства природных ресурсов и охраны окружающей среды Республики Беларусь от 29 февраля 2008 г. N 17;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акта инвентаризации ПХБ по </w:t>
      </w:r>
      <w:hyperlink r:id="rId11">
        <w:r>
          <w:rPr>
            <w:color w:val="0000FF"/>
          </w:rPr>
          <w:t>форме</w:t>
        </w:r>
      </w:hyperlink>
      <w:r>
        <w:t xml:space="preserve"> согласно приложению 19 к </w:t>
      </w:r>
      <w:proofErr w:type="spellStart"/>
      <w:r>
        <w:t>ЭкоНиП</w:t>
      </w:r>
      <w:proofErr w:type="spellEnd"/>
      <w:r>
        <w:t>;</w:t>
      </w:r>
    </w:p>
    <w:p w:rsidR="00E77235" w:rsidRDefault="00E77235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</w:t>
      </w:r>
      <w:proofErr w:type="spellStart"/>
      <w:r>
        <w:t>Белстата</w:t>
      </w:r>
      <w:proofErr w:type="spellEnd"/>
      <w:r>
        <w:t xml:space="preserve"> от 11.10.2023 N 132)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товарно-транспортных накладных;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актов выполненных работ по договорам на оказание услуг по обращению с отходами;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других первичных учетных и иных документов.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6. В отчете отражаются объемы отходов, образующихся как в собственном производстве, так и отходов, полученных от других организаций и индивидуальных предпринимателей, в соответствии с общегосударственным </w:t>
      </w:r>
      <w:hyperlink r:id="rId13">
        <w:r>
          <w:rPr>
            <w:color w:val="0000FF"/>
          </w:rPr>
          <w:t>классификатором</w:t>
        </w:r>
      </w:hyperlink>
      <w:r>
        <w:t xml:space="preserve"> Республики Беларусь ОКРБ 021-2019 "Классификатор отходов, образующихся в Республике Беларусь", утвержденным постановлением Министерства природных ресурсов и охраны окружающей среды Республики Беларусь от 9 сентября 2019 г. N 3-Т (далее - ОКРБ 021-2019).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7. В </w:t>
      </w:r>
      <w:hyperlink w:anchor="P79">
        <w:r>
          <w:rPr>
            <w:color w:val="0000FF"/>
          </w:rPr>
          <w:t>разделе I</w:t>
        </w:r>
      </w:hyperlink>
      <w:r>
        <w:t xml:space="preserve"> данные отчета, характеризующие количество отходов, отражаются в тоннах с тремя знаками после запятой.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Данные о количестве термометров ртутных использованных или испорченных, ртутных термометров отработанных, люминесцентных трубок отработанных и ртутных ламп отработанных, компактных люминесцентных ламп (энергосберегающих) отработанных, </w:t>
      </w:r>
      <w:proofErr w:type="spellStart"/>
      <w:r>
        <w:t>дифманометров</w:t>
      </w:r>
      <w:proofErr w:type="spellEnd"/>
      <w:r>
        <w:t>, содержащих ртуть, игнитронов и других ионных приборов, содержащих ртуть, отражаются в штуках.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Данные о силовых трансформаторах с охлаждающей жидкостью на основе ПХБ, силовых конденсаторах с диэлектриком, пропитанным жидкостью на основе ПХБ, малогабаритных конденсаторах с диэлектриком на основе ПХБ, прочем оборудовании, содержащем или загрязненным ПХБ, прочих отходах сложного комбинированного состава в виде изделий, оборудования и устройств, не вошедших в </w:t>
      </w:r>
      <w:hyperlink r:id="rId14">
        <w:r>
          <w:rPr>
            <w:color w:val="0000FF"/>
          </w:rPr>
          <w:t>группу 4 раздела 5 блока 3 таблицы 2</w:t>
        </w:r>
      </w:hyperlink>
      <w:r>
        <w:t xml:space="preserve"> ОКРБ 021-2019, </w:t>
      </w:r>
      <w:r>
        <w:lastRenderedPageBreak/>
        <w:t>отражаются в тоннах ПХБ-содержащих жидкостей.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В </w:t>
      </w:r>
      <w:hyperlink w:anchor="P413">
        <w:r>
          <w:rPr>
            <w:color w:val="0000FF"/>
          </w:rPr>
          <w:t>разделе II</w:t>
        </w:r>
      </w:hyperlink>
      <w:r>
        <w:t xml:space="preserve"> данные в рублях отражаются с одним знаком после запятой, в тоннах - с тремя знаками после запятой.</w:t>
      </w:r>
    </w:p>
    <w:p w:rsidR="00E77235" w:rsidRDefault="00E77235">
      <w:pPr>
        <w:pStyle w:val="ConsPlusNormal"/>
        <w:ind w:firstLine="540"/>
        <w:jc w:val="both"/>
      </w:pPr>
    </w:p>
    <w:p w:rsidR="00E77235" w:rsidRDefault="00E77235">
      <w:pPr>
        <w:pStyle w:val="ConsPlusNormal"/>
        <w:jc w:val="center"/>
        <w:outlineLvl w:val="1"/>
      </w:pPr>
      <w:r>
        <w:rPr>
          <w:b/>
        </w:rPr>
        <w:t>ГЛАВА 2</w:t>
      </w:r>
    </w:p>
    <w:p w:rsidR="00E77235" w:rsidRDefault="00E77235">
      <w:pPr>
        <w:pStyle w:val="ConsPlusNormal"/>
        <w:jc w:val="center"/>
      </w:pPr>
      <w:r>
        <w:rPr>
          <w:b/>
        </w:rPr>
        <w:t>ПОРЯДОК ЗАПОЛНЕНИЯ РАЗДЕЛА I</w:t>
      </w:r>
      <w:r>
        <w:br/>
      </w:r>
      <w:r>
        <w:rPr>
          <w:b/>
        </w:rPr>
        <w:t>"ОБРАЩЕНИЕ С ОТХОДАМИ ПРОИЗВОДСТВА"</w:t>
      </w:r>
    </w:p>
    <w:p w:rsidR="00E77235" w:rsidRDefault="00E77235">
      <w:pPr>
        <w:pStyle w:val="ConsPlusNormal"/>
        <w:ind w:firstLine="540"/>
        <w:jc w:val="both"/>
      </w:pPr>
    </w:p>
    <w:p w:rsidR="00E77235" w:rsidRDefault="00E77235">
      <w:pPr>
        <w:pStyle w:val="ConsPlusNormal"/>
        <w:ind w:firstLine="540"/>
        <w:jc w:val="both"/>
      </w:pPr>
      <w:r>
        <w:t xml:space="preserve">8. В </w:t>
      </w:r>
      <w:hyperlink w:anchor="P79">
        <w:r>
          <w:rPr>
            <w:color w:val="0000FF"/>
          </w:rPr>
          <w:t>разделе I</w:t>
        </w:r>
      </w:hyperlink>
      <w:r>
        <w:t xml:space="preserve"> отражаются данные о наличии и движении отходов за отчетный год. Сведения по каждому виду отходов приводятся в отдельных строках.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9. В графе А по свободным строкам относящимся к </w:t>
      </w:r>
      <w:hyperlink w:anchor="P126">
        <w:r>
          <w:rPr>
            <w:color w:val="0000FF"/>
          </w:rPr>
          <w:t>строкам 101</w:t>
        </w:r>
      </w:hyperlink>
      <w:r>
        <w:t xml:space="preserve">, </w:t>
      </w:r>
      <w:hyperlink w:anchor="P182">
        <w:r>
          <w:rPr>
            <w:color w:val="0000FF"/>
          </w:rPr>
          <w:t>201</w:t>
        </w:r>
      </w:hyperlink>
      <w:r>
        <w:t xml:space="preserve">, </w:t>
      </w:r>
      <w:hyperlink w:anchor="P220">
        <w:r>
          <w:rPr>
            <w:color w:val="0000FF"/>
          </w:rPr>
          <w:t>301</w:t>
        </w:r>
      </w:hyperlink>
      <w:r>
        <w:t xml:space="preserve">, </w:t>
      </w:r>
      <w:hyperlink w:anchor="P260">
        <w:r>
          <w:rPr>
            <w:color w:val="0000FF"/>
          </w:rPr>
          <w:t>401</w:t>
        </w:r>
      </w:hyperlink>
      <w:r>
        <w:t xml:space="preserve">, </w:t>
      </w:r>
      <w:hyperlink w:anchor="P308">
        <w:r>
          <w:rPr>
            <w:color w:val="0000FF"/>
          </w:rPr>
          <w:t>501</w:t>
        </w:r>
      </w:hyperlink>
      <w:r>
        <w:t xml:space="preserve">, </w:t>
      </w:r>
      <w:hyperlink w:anchor="P352">
        <w:r>
          <w:rPr>
            <w:color w:val="0000FF"/>
          </w:rPr>
          <w:t>601</w:t>
        </w:r>
      </w:hyperlink>
      <w:r>
        <w:t xml:space="preserve">, </w:t>
      </w:r>
      <w:hyperlink w:anchor="P392">
        <w:r>
          <w:rPr>
            <w:color w:val="0000FF"/>
          </w:rPr>
          <w:t>701</w:t>
        </w:r>
      </w:hyperlink>
      <w:r>
        <w:t xml:space="preserve"> указывается наименование и степень опасности или класс опасности отходов согласно </w:t>
      </w:r>
      <w:hyperlink r:id="rId15">
        <w:r>
          <w:rPr>
            <w:color w:val="0000FF"/>
          </w:rPr>
          <w:t>ОКРБ 021-2019</w:t>
        </w:r>
      </w:hyperlink>
      <w:r>
        <w:t>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В графе Б по данным строкам указывается код, степень опасности и класс опасности отходов согласно </w:t>
      </w:r>
      <w:hyperlink r:id="rId16">
        <w:r>
          <w:rPr>
            <w:color w:val="0000FF"/>
          </w:rPr>
          <w:t>ОКРБ 021-2019</w:t>
        </w:r>
      </w:hyperlink>
      <w:r>
        <w:t>, в виде кодового обозначения, имеющего следующую структуру: XXXXXXX.Y, где ХХХХХХХ - код отходов, Y - код степени или класса опасности отходов.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Для отходов первого класса опасности указывается код 1, для отходов второго класса опасности - код 2, для отходов третьего класса опасности - код 3, для отходов четвертого класса опасности - код 4, для неопасных отходов - код 5, для отходов с неустановленным классом опасности - код 0.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В случае если степень опасности и класс опасности отходов не установлены в </w:t>
      </w:r>
      <w:hyperlink r:id="rId17">
        <w:r>
          <w:rPr>
            <w:color w:val="0000FF"/>
          </w:rPr>
          <w:t>ОКРБ 021-2019</w:t>
        </w:r>
      </w:hyperlink>
      <w:r>
        <w:t xml:space="preserve">, они указываются в соответствии с заключением о степени опасности отходов производства и классе опасности опасных отходов производства, выдаваемым по результатам определения опасных свойств отходов в соответствии с </w:t>
      </w:r>
      <w:hyperlink r:id="rId18">
        <w:r>
          <w:rPr>
            <w:color w:val="0000FF"/>
          </w:rPr>
          <w:t>Инструкцией</w:t>
        </w:r>
      </w:hyperlink>
      <w:r>
        <w:t xml:space="preserve"> о порядке установления степени опасности отходов производства и класса опасности опасных отходов производства, утвержденной постановлением Министерства природных ресурсов и охраны окружающей среды Республики Беларусь, Министерства здравоохранения Республики Беларусь и Министерства по чрезвычайным ситуациям Республики Беларусь от 29 ноября 2019 г. N 41/108/65.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10. В </w:t>
      </w:r>
      <w:hyperlink w:anchor="P89">
        <w:r>
          <w:rPr>
            <w:color w:val="0000FF"/>
          </w:rPr>
          <w:t>графе 1 таблицы 1</w:t>
        </w:r>
      </w:hyperlink>
      <w:r>
        <w:t xml:space="preserve"> отражается объем отходов, находящихся на хранении по состоянию на 1 января отчетного года.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11. В </w:t>
      </w:r>
      <w:hyperlink w:anchor="P90">
        <w:r>
          <w:rPr>
            <w:color w:val="0000FF"/>
          </w:rPr>
          <w:t>графе 2 таблицы 1</w:t>
        </w:r>
      </w:hyperlink>
      <w:r>
        <w:t xml:space="preserve"> отражается фактический объем образовавшихся отходов в отчетном году.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12. В </w:t>
      </w:r>
      <w:hyperlink w:anchor="P106">
        <w:r>
          <w:rPr>
            <w:color w:val="0000FF"/>
          </w:rPr>
          <w:t>графе 3 таблицы 1</w:t>
        </w:r>
      </w:hyperlink>
      <w:r>
        <w:t xml:space="preserve"> отражается объем отходов, поступивших от организаций и индивидуальных предпринимателей для использования, обезвреживания, захоронения и (или) хранения.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13. В </w:t>
      </w:r>
      <w:hyperlink w:anchor="P95">
        <w:r>
          <w:rPr>
            <w:color w:val="0000FF"/>
          </w:rPr>
          <w:t>графе 5 таблицы 1</w:t>
        </w:r>
      </w:hyperlink>
      <w:r>
        <w:t xml:space="preserve"> отражается объем отходов, переданных организациям и индивидуальным предпринимателям в целях последующих их подготовки, хранения, захоронения, обезвреживания, использования. Объем отходов, переданных на захоронение организации, индивидуальному предпринимателю, эксплуатирующему объект захоронения отходов, отражается в графе 10 таблицы 1.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14. В </w:t>
      </w:r>
      <w:hyperlink w:anchor="P98">
        <w:r>
          <w:rPr>
            <w:color w:val="0000FF"/>
          </w:rPr>
          <w:t>графе 8 таблицы 1</w:t>
        </w:r>
      </w:hyperlink>
      <w:r>
        <w:t xml:space="preserve"> отражается объем отходов, фактически использованных в собственном производстве (основном производстве, в подсобном хозяйстве и других производствах).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15. В </w:t>
      </w:r>
      <w:hyperlink w:anchor="P103">
        <w:r>
          <w:rPr>
            <w:color w:val="0000FF"/>
          </w:rPr>
          <w:t>графе 10 таблицы 1</w:t>
        </w:r>
      </w:hyperlink>
      <w:r>
        <w:t xml:space="preserve"> отражается объем отходов, переданных на захоронение как на объекты захоронения отходов, имеющиеся у организации, так и на объекты захоронения отходов, </w:t>
      </w:r>
      <w:r>
        <w:lastRenderedPageBreak/>
        <w:t>принадлежащие иным организациям, индивидуальным предпринимателям, оказывающим услуги по захоронению отходов.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16. В </w:t>
      </w:r>
      <w:hyperlink w:anchor="P104">
        <w:r>
          <w:rPr>
            <w:color w:val="0000FF"/>
          </w:rPr>
          <w:t>графе 11 таблицы 1</w:t>
        </w:r>
      </w:hyperlink>
      <w:r>
        <w:t xml:space="preserve"> отражается количество отходов, подлежащее захоронению, определенное в разрешении на хранение и захоронение отходов производства или комплексном природоохранном разрешении. Если разрешение на хранение и захоронение отходов производства или комплексное природоохранное разрешение отсутствует, то в данной графе отражается количество отходов, подлежащее захоронению, согласно заключенным договорам на оказание услуг по захоронению.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17. В </w:t>
      </w:r>
      <w:hyperlink w:anchor="P101">
        <w:r>
          <w:rPr>
            <w:color w:val="0000FF"/>
          </w:rPr>
          <w:t>графе 12 таблицы 1</w:t>
        </w:r>
      </w:hyperlink>
      <w:r>
        <w:t xml:space="preserve"> отражается фактический объем отходов, направленных на хранение в отчетном году.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Данные в </w:t>
      </w:r>
      <w:hyperlink w:anchor="P101">
        <w:r>
          <w:rPr>
            <w:color w:val="0000FF"/>
          </w:rPr>
          <w:t>графе 12 таблицы 1</w:t>
        </w:r>
      </w:hyperlink>
      <w:r>
        <w:t xml:space="preserve"> должны быть равны сумме данных в </w:t>
      </w:r>
      <w:hyperlink w:anchor="P90">
        <w:r>
          <w:rPr>
            <w:color w:val="0000FF"/>
          </w:rPr>
          <w:t>графах 2</w:t>
        </w:r>
      </w:hyperlink>
      <w:r>
        <w:t xml:space="preserve"> и </w:t>
      </w:r>
      <w:hyperlink w:anchor="P106">
        <w:r>
          <w:rPr>
            <w:color w:val="0000FF"/>
          </w:rPr>
          <w:t>3</w:t>
        </w:r>
      </w:hyperlink>
      <w:r>
        <w:t xml:space="preserve"> минус сумма данных в графах с </w:t>
      </w:r>
      <w:hyperlink w:anchor="P95">
        <w:r>
          <w:rPr>
            <w:color w:val="0000FF"/>
          </w:rPr>
          <w:t>5</w:t>
        </w:r>
      </w:hyperlink>
      <w:r>
        <w:t xml:space="preserve"> по </w:t>
      </w:r>
      <w:hyperlink w:anchor="P103">
        <w:r>
          <w:rPr>
            <w:color w:val="0000FF"/>
          </w:rPr>
          <w:t>10 таблицы 1</w:t>
        </w:r>
      </w:hyperlink>
      <w:r>
        <w:t>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18. В </w:t>
      </w:r>
      <w:hyperlink w:anchor="P92">
        <w:r>
          <w:rPr>
            <w:color w:val="0000FF"/>
          </w:rPr>
          <w:t>графе 13 таблицы 1</w:t>
        </w:r>
      </w:hyperlink>
      <w:r>
        <w:t xml:space="preserve"> отражается объем отходов, находящихся на хранении по состоянию на 1 января года, следующего за отчетным.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Данные в </w:t>
      </w:r>
      <w:hyperlink w:anchor="P92">
        <w:r>
          <w:rPr>
            <w:color w:val="0000FF"/>
          </w:rPr>
          <w:t>графе 13 таблицы 1</w:t>
        </w:r>
      </w:hyperlink>
      <w:r>
        <w:t xml:space="preserve"> должны быть равны сумме данных в графах с </w:t>
      </w:r>
      <w:hyperlink w:anchor="P89">
        <w:r>
          <w:rPr>
            <w:color w:val="0000FF"/>
          </w:rPr>
          <w:t>1</w:t>
        </w:r>
      </w:hyperlink>
      <w:r>
        <w:t xml:space="preserve"> по </w:t>
      </w:r>
      <w:hyperlink w:anchor="P106">
        <w:r>
          <w:rPr>
            <w:color w:val="0000FF"/>
          </w:rPr>
          <w:t>3</w:t>
        </w:r>
      </w:hyperlink>
      <w:r>
        <w:t xml:space="preserve"> минус сумма данных в графах с </w:t>
      </w:r>
      <w:hyperlink w:anchor="P95">
        <w:r>
          <w:rPr>
            <w:color w:val="0000FF"/>
          </w:rPr>
          <w:t>5</w:t>
        </w:r>
      </w:hyperlink>
      <w:r>
        <w:t xml:space="preserve"> по </w:t>
      </w:r>
      <w:hyperlink w:anchor="P103">
        <w:r>
          <w:rPr>
            <w:color w:val="0000FF"/>
          </w:rPr>
          <w:t>10 таблицы 1</w:t>
        </w:r>
      </w:hyperlink>
      <w:r>
        <w:t>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19. В </w:t>
      </w:r>
      <w:hyperlink w:anchor="P163">
        <w:r>
          <w:rPr>
            <w:color w:val="0000FF"/>
          </w:rPr>
          <w:t>таблице 2</w:t>
        </w:r>
      </w:hyperlink>
      <w:r>
        <w:t xml:space="preserve"> отражаются данные об объеме отходов поступивших от организаций и индивидуальных предпринимателей по причинам поступления.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Сумма данных в графах с </w:t>
      </w:r>
      <w:hyperlink w:anchor="P169">
        <w:r>
          <w:rPr>
            <w:color w:val="0000FF"/>
          </w:rPr>
          <w:t>1</w:t>
        </w:r>
      </w:hyperlink>
      <w:r>
        <w:t xml:space="preserve"> по </w:t>
      </w:r>
      <w:hyperlink w:anchor="P173">
        <w:r>
          <w:rPr>
            <w:color w:val="0000FF"/>
          </w:rPr>
          <w:t>5 таблицы 2</w:t>
        </w:r>
      </w:hyperlink>
      <w:r>
        <w:t xml:space="preserve"> отдельно по каждому виду отходов должна быть равна данным в </w:t>
      </w:r>
      <w:hyperlink w:anchor="P106">
        <w:r>
          <w:rPr>
            <w:color w:val="0000FF"/>
          </w:rPr>
          <w:t>графе 3 таблицы 1</w:t>
        </w:r>
      </w:hyperlink>
      <w:r>
        <w:t xml:space="preserve"> по соответствующему виду отходов.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20. В </w:t>
      </w:r>
      <w:hyperlink w:anchor="P201">
        <w:r>
          <w:rPr>
            <w:color w:val="0000FF"/>
          </w:rPr>
          <w:t>таблице 3</w:t>
        </w:r>
      </w:hyperlink>
      <w:r>
        <w:t xml:space="preserve"> отражаются данные об объеме отходов переданных (реализованных) организациям и индивидуальным предпринимателям по причинам передачи (реализации).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Сумма данных в графах с </w:t>
      </w:r>
      <w:hyperlink w:anchor="P207">
        <w:r>
          <w:rPr>
            <w:color w:val="0000FF"/>
          </w:rPr>
          <w:t>1</w:t>
        </w:r>
      </w:hyperlink>
      <w:r>
        <w:t xml:space="preserve"> по </w:t>
      </w:r>
      <w:hyperlink w:anchor="P211">
        <w:r>
          <w:rPr>
            <w:color w:val="0000FF"/>
          </w:rPr>
          <w:t>5 таблицы 3</w:t>
        </w:r>
      </w:hyperlink>
      <w:r>
        <w:t xml:space="preserve"> отдельно по каждому виду отходов должна быть равна данным в </w:t>
      </w:r>
      <w:hyperlink w:anchor="P95">
        <w:r>
          <w:rPr>
            <w:color w:val="0000FF"/>
          </w:rPr>
          <w:t>графе 5 таблицы 1</w:t>
        </w:r>
      </w:hyperlink>
      <w:r>
        <w:t xml:space="preserve"> по соответствующему виду отходов.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21. В </w:t>
      </w:r>
      <w:hyperlink w:anchor="P239">
        <w:r>
          <w:rPr>
            <w:color w:val="0000FF"/>
          </w:rPr>
          <w:t>таблице 4</w:t>
        </w:r>
      </w:hyperlink>
      <w:r>
        <w:t xml:space="preserve"> отражаются данные об объеме использованных отходов по направлениям использования: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в </w:t>
      </w:r>
      <w:hyperlink w:anchor="P245">
        <w:r>
          <w:rPr>
            <w:color w:val="0000FF"/>
          </w:rPr>
          <w:t>графе 1</w:t>
        </w:r>
      </w:hyperlink>
      <w:r>
        <w:t xml:space="preserve"> отражаются данные об объеме отходов, использованных для получения электрической и (или) тепловой энергии;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в </w:t>
      </w:r>
      <w:hyperlink w:anchor="P246">
        <w:r>
          <w:rPr>
            <w:color w:val="0000FF"/>
          </w:rPr>
          <w:t>графе 2</w:t>
        </w:r>
      </w:hyperlink>
      <w:r>
        <w:t xml:space="preserve"> отражаются данные об объеме отходов, использованных для получения продукции (кроме RDF-топлива);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сумма данных в графах с </w:t>
      </w:r>
      <w:hyperlink w:anchor="P245">
        <w:r>
          <w:rPr>
            <w:color w:val="0000FF"/>
          </w:rPr>
          <w:t>1</w:t>
        </w:r>
      </w:hyperlink>
      <w:r>
        <w:t xml:space="preserve"> по </w:t>
      </w:r>
      <w:hyperlink w:anchor="P250">
        <w:r>
          <w:rPr>
            <w:color w:val="0000FF"/>
          </w:rPr>
          <w:t>6 таблицы 4</w:t>
        </w:r>
      </w:hyperlink>
      <w:r>
        <w:t xml:space="preserve"> отдельно по каждому виду отходов должна быть равна данным в </w:t>
      </w:r>
      <w:hyperlink w:anchor="P98">
        <w:r>
          <w:rPr>
            <w:color w:val="0000FF"/>
          </w:rPr>
          <w:t>графе 8 таблицы 1</w:t>
        </w:r>
      </w:hyperlink>
      <w:r>
        <w:t xml:space="preserve"> по соответствующему виду отходов.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22. В </w:t>
      </w:r>
      <w:hyperlink w:anchor="P281">
        <w:r>
          <w:rPr>
            <w:color w:val="0000FF"/>
          </w:rPr>
          <w:t>таблице 5</w:t>
        </w:r>
      </w:hyperlink>
      <w:r>
        <w:t xml:space="preserve"> отражаются данные об объеме обезвреженных отходов по способам обезвреживания.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Сумма данных в графах с </w:t>
      </w:r>
      <w:hyperlink w:anchor="P287">
        <w:r>
          <w:rPr>
            <w:color w:val="0000FF"/>
          </w:rPr>
          <w:t>1</w:t>
        </w:r>
      </w:hyperlink>
      <w:r>
        <w:t xml:space="preserve"> по </w:t>
      </w:r>
      <w:hyperlink w:anchor="P295">
        <w:r>
          <w:rPr>
            <w:color w:val="0000FF"/>
          </w:rPr>
          <w:t>9 таблицы 5</w:t>
        </w:r>
      </w:hyperlink>
      <w:r>
        <w:t xml:space="preserve"> отдельно по каждому виду отходов должна быть равна данным в </w:t>
      </w:r>
      <w:hyperlink w:anchor="P99">
        <w:r>
          <w:rPr>
            <w:color w:val="0000FF"/>
          </w:rPr>
          <w:t>графе 9 таблицы 1</w:t>
        </w:r>
      </w:hyperlink>
      <w:r>
        <w:t xml:space="preserve"> по соответствующему виду отходов.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23. В </w:t>
      </w:r>
      <w:hyperlink w:anchor="P335">
        <w:r>
          <w:rPr>
            <w:color w:val="0000FF"/>
          </w:rPr>
          <w:t>таблице 6</w:t>
        </w:r>
      </w:hyperlink>
      <w:r>
        <w:t xml:space="preserve"> отражаются данные об объеме захороненных отходов по объектам захоронения отходов.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Сумма данных в графах с </w:t>
      </w:r>
      <w:hyperlink w:anchor="P341">
        <w:r>
          <w:rPr>
            <w:color w:val="0000FF"/>
          </w:rPr>
          <w:t>1</w:t>
        </w:r>
      </w:hyperlink>
      <w:r>
        <w:t xml:space="preserve"> по </w:t>
      </w:r>
      <w:hyperlink w:anchor="P344">
        <w:r>
          <w:rPr>
            <w:color w:val="0000FF"/>
          </w:rPr>
          <w:t>4 таблицы 6</w:t>
        </w:r>
      </w:hyperlink>
      <w:r>
        <w:t xml:space="preserve"> отдельно по каждому виду отходов должна быть равна данным в </w:t>
      </w:r>
      <w:hyperlink w:anchor="P103">
        <w:r>
          <w:rPr>
            <w:color w:val="0000FF"/>
          </w:rPr>
          <w:t>графе 10 таблицы 1</w:t>
        </w:r>
      </w:hyperlink>
      <w:r>
        <w:t xml:space="preserve"> по соответствующему виду отходов.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lastRenderedPageBreak/>
        <w:t xml:space="preserve">24. В </w:t>
      </w:r>
      <w:hyperlink w:anchor="P369">
        <w:r>
          <w:rPr>
            <w:color w:val="0000FF"/>
          </w:rPr>
          <w:t>таблице 7</w:t>
        </w:r>
      </w:hyperlink>
      <w:r>
        <w:t xml:space="preserve"> отражаются данные об объеме отходов, направленных на хранение в отчетном году, по объектам, местам хранения отходов.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Сумма данных в графах с </w:t>
      </w:r>
      <w:hyperlink w:anchor="P375">
        <w:r>
          <w:rPr>
            <w:color w:val="0000FF"/>
          </w:rPr>
          <w:t>1</w:t>
        </w:r>
      </w:hyperlink>
      <w:r>
        <w:t xml:space="preserve"> по </w:t>
      </w:r>
      <w:hyperlink w:anchor="P381">
        <w:r>
          <w:rPr>
            <w:color w:val="0000FF"/>
          </w:rPr>
          <w:t>7 таблицы 7</w:t>
        </w:r>
      </w:hyperlink>
      <w:r>
        <w:t xml:space="preserve"> отдельно по каждому виду отходов должна быть равна данным в </w:t>
      </w:r>
      <w:hyperlink w:anchor="P101">
        <w:r>
          <w:rPr>
            <w:color w:val="0000FF"/>
          </w:rPr>
          <w:t>графе 12 таблицы 1</w:t>
        </w:r>
      </w:hyperlink>
      <w:r>
        <w:t xml:space="preserve"> по соответствующему виду отходов.</w:t>
      </w:r>
    </w:p>
    <w:p w:rsidR="00E77235" w:rsidRDefault="00E77235">
      <w:pPr>
        <w:pStyle w:val="ConsPlusNormal"/>
        <w:ind w:firstLine="540"/>
        <w:jc w:val="both"/>
      </w:pPr>
    </w:p>
    <w:p w:rsidR="00E77235" w:rsidRDefault="00E77235">
      <w:pPr>
        <w:pStyle w:val="ConsPlusNormal"/>
        <w:jc w:val="center"/>
        <w:outlineLvl w:val="1"/>
      </w:pPr>
      <w:r>
        <w:rPr>
          <w:b/>
        </w:rPr>
        <w:t>ГЛАВА 3</w:t>
      </w:r>
    </w:p>
    <w:p w:rsidR="00E77235" w:rsidRDefault="00E77235">
      <w:pPr>
        <w:pStyle w:val="ConsPlusNormal"/>
        <w:jc w:val="center"/>
      </w:pPr>
      <w:r>
        <w:rPr>
          <w:b/>
        </w:rPr>
        <w:t>ПОРЯДОК ЗАПОЛНЕНИЯ РАЗДЕЛА II "ВЫПОЛНЕНИЕ МЕРОПРИЯТИЙ ПО СОКРАЩЕНИЮ ОБЪЕМОВ ОБРАЗОВАНИЯ И (ИЛИ) НАКОПЛЕНИЯ ОТХОДОВ ПРОИЗВОДСТВА"</w:t>
      </w:r>
    </w:p>
    <w:p w:rsidR="00E77235" w:rsidRDefault="00E77235">
      <w:pPr>
        <w:pStyle w:val="ConsPlusNormal"/>
        <w:ind w:firstLine="540"/>
        <w:jc w:val="both"/>
      </w:pPr>
    </w:p>
    <w:p w:rsidR="00E77235" w:rsidRDefault="00E77235">
      <w:pPr>
        <w:pStyle w:val="ConsPlusNormal"/>
        <w:ind w:firstLine="540"/>
        <w:jc w:val="both"/>
      </w:pPr>
      <w:r>
        <w:t xml:space="preserve">25. В </w:t>
      </w:r>
      <w:hyperlink w:anchor="P413">
        <w:r>
          <w:rPr>
            <w:color w:val="0000FF"/>
          </w:rPr>
          <w:t>разделе II</w:t>
        </w:r>
      </w:hyperlink>
      <w:r>
        <w:t xml:space="preserve"> отражаются данные о выполнении в отчетном году мероприятий по сокращению объемов образования и (или) накопления отходов, осуществляемых за счет всех источников финансирования в отчетном году, со сроками завершения как в отчетном году, так и в последующие годы.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Данные о мероприятиях отражаются в разделе независимо от уровня их фактического выполнения.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26. В </w:t>
      </w:r>
      <w:hyperlink w:anchor="P420">
        <w:r>
          <w:rPr>
            <w:color w:val="0000FF"/>
          </w:rPr>
          <w:t>графе 1</w:t>
        </w:r>
      </w:hyperlink>
      <w:r>
        <w:t xml:space="preserve"> отражается общий объем израсходованных средств на выполнение мероприятий по сокращению объемов образования и (или) накопления отходов.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27. В </w:t>
      </w:r>
      <w:hyperlink w:anchor="P421">
        <w:r>
          <w:rPr>
            <w:color w:val="0000FF"/>
          </w:rPr>
          <w:t>графе 2</w:t>
        </w:r>
      </w:hyperlink>
      <w:r>
        <w:t xml:space="preserve"> указывается код оценки выполнения мероприятий (полностью выполнено - код 1, частично выполнено - код 2, не выполнено - код 3).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 xml:space="preserve">28. В </w:t>
      </w:r>
      <w:hyperlink w:anchor="P423">
        <w:r>
          <w:rPr>
            <w:color w:val="0000FF"/>
          </w:rPr>
          <w:t>графах 3</w:t>
        </w:r>
      </w:hyperlink>
      <w:r>
        <w:t xml:space="preserve"> и </w:t>
      </w:r>
      <w:hyperlink w:anchor="P424">
        <w:r>
          <w:rPr>
            <w:color w:val="0000FF"/>
          </w:rPr>
          <w:t>4</w:t>
        </w:r>
      </w:hyperlink>
      <w:r>
        <w:t xml:space="preserve"> отражаются соответственно планируемые (расчетные) и фактические данные при выполнении мероприятия в отчетном году.</w:t>
      </w:r>
    </w:p>
    <w:p w:rsidR="00E77235" w:rsidRDefault="00E77235">
      <w:pPr>
        <w:pStyle w:val="ConsPlusNormal"/>
        <w:spacing w:before="220"/>
        <w:ind w:firstLine="540"/>
        <w:jc w:val="both"/>
      </w:pPr>
      <w:r>
        <w:t>Примечание. Терминология, применяемая в настоящих Указаниях, используется только для заполнения отчета.</w:t>
      </w:r>
    </w:p>
    <w:p w:rsidR="00E77235" w:rsidRDefault="00E77235">
      <w:pPr>
        <w:pStyle w:val="ConsPlusNormal"/>
        <w:ind w:firstLine="540"/>
      </w:pPr>
    </w:p>
    <w:p w:rsidR="00E77235" w:rsidRDefault="00E77235">
      <w:pPr>
        <w:pStyle w:val="ConsPlusNormal"/>
      </w:pPr>
    </w:p>
    <w:p w:rsidR="00E77235" w:rsidRDefault="00E7723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7235" w:rsidRDefault="00E77235"/>
    <w:sectPr w:rsidR="00E7723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35"/>
    <w:rsid w:val="00540358"/>
    <w:rsid w:val="008078E5"/>
    <w:rsid w:val="0094383F"/>
    <w:rsid w:val="00E7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AEDC7-A386-47E6-BCCC-53B75D07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72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BY"/>
    </w:rPr>
  </w:style>
  <w:style w:type="paragraph" w:customStyle="1" w:styleId="ConsPlusNonformat">
    <w:name w:val="ConsPlusNonformat"/>
    <w:rsid w:val="00E772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BY"/>
    </w:rPr>
  </w:style>
  <w:style w:type="paragraph" w:customStyle="1" w:styleId="ConsPlusTitle">
    <w:name w:val="ConsPlusTitle"/>
    <w:rsid w:val="00E772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BY"/>
    </w:rPr>
  </w:style>
  <w:style w:type="paragraph" w:customStyle="1" w:styleId="ConsPlusCell">
    <w:name w:val="ConsPlusCell"/>
    <w:rsid w:val="00E772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BY"/>
    </w:rPr>
  </w:style>
  <w:style w:type="paragraph" w:customStyle="1" w:styleId="ConsPlusDocList">
    <w:name w:val="ConsPlusDocList"/>
    <w:rsid w:val="00E772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BY"/>
    </w:rPr>
  </w:style>
  <w:style w:type="paragraph" w:customStyle="1" w:styleId="ConsPlusTitlePage">
    <w:name w:val="ConsPlusTitlePage"/>
    <w:rsid w:val="00E772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BY"/>
    </w:rPr>
  </w:style>
  <w:style w:type="paragraph" w:customStyle="1" w:styleId="ConsPlusJurTerm">
    <w:name w:val="ConsPlusJurTerm"/>
    <w:rsid w:val="00E772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BY"/>
    </w:rPr>
  </w:style>
  <w:style w:type="paragraph" w:customStyle="1" w:styleId="ConsPlusTextList">
    <w:name w:val="ConsPlusTextList"/>
    <w:rsid w:val="00E7723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33569EC75BDB9694B4C4C59D418F3C95077EB4A91393B05916449407B4B09BECFBAAD1C5C4A02C3FF7D19FFA46EBD403CC0BEA4BC3A3DB1AD38D91F7t0pAN" TargetMode="External"/><Relationship Id="rId13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18" Type="http://schemas.openxmlformats.org/officeDocument/2006/relationships/hyperlink" Target="consultantplus://offline/ref=C433569EC75BDB9694B4C4C59D418F3C95077EB4A9109BB05B174B9407B4B09BECFBAAD1C5C4A02C3FF6D098FB41EBD403CC0BEA4BC3A3DB1AD38D91F7t0p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33569EC75BDB9694B4C4C59D418F3C95077EB4A91392B95F10449407B4B09BECFBAAD1C5C4A02C3FF6D098F845EBD403CC0BEA4BC3A3DB1AD38D91F7t0pAN" TargetMode="External"/><Relationship Id="rId12" Type="http://schemas.openxmlformats.org/officeDocument/2006/relationships/hyperlink" Target="consultantplus://offline/ref=C433569EC75BDB9694B4C4C59D418F3C95077EB4A91392B95F10449407B4B09BECFBAAD1C5C4A02C3FF6D098F841EBD403CC0BEA4BC3A3DB1AD38D91F7t0pAN" TargetMode="External"/><Relationship Id="rId17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33569EC75BDB9694B4C4C59D418F3C95077EB4A91392B95F10449407B4B09BECFBAAD1C5C4A02C3FF6D098F846EBD403CC0BEA4BC3A3DB1AD38D91F7t0pAN" TargetMode="External"/><Relationship Id="rId11" Type="http://schemas.openxmlformats.org/officeDocument/2006/relationships/hyperlink" Target="consultantplus://offline/ref=C433569EC75BDB9694B4C4C59D418F3C95077EB4A91393B05916449407B4B09BECFBAAD1C5C4A02C3FF7D590F247EBD403CC0BEA4BC3A3DB1AD38D91F7t0pAN" TargetMode="External"/><Relationship Id="rId5" Type="http://schemas.openxmlformats.org/officeDocument/2006/relationships/hyperlink" Target="consultantplus://offline/ref=C433569EC75BDB9694B4C4C59D418F3C95077EB4A91392B95F10449407B4B09BECFBAAD1C5C4A02C3FF6D098FB4EEBD403CC0BEA4BC3A3DB1AD38D91F7t0pAN" TargetMode="External"/><Relationship Id="rId15" Type="http://schemas.openxmlformats.org/officeDocument/2006/relationships/hyperlink" Target="consultantplus://offline/ref=C433569EC75BDB9694B4C4C59D418F3C95077EB4A9109BBE5F19479407B4B09BECFBAAD1C5C4A02C3FF6D098FA4FEBD403CC0BEA4BC3A3DB1AD38D91F7t0pAN" TargetMode="External"/><Relationship Id="rId10" Type="http://schemas.openxmlformats.org/officeDocument/2006/relationships/hyperlink" Target="consultantplus://offline/ref=C433569EC75BDB9694B4C4C59D418F3C95077EB4A9109BBF5219439407B4B09BECFBAAD1C5C4A02C3FF6D09BF345EBD403CC0BEA4BC3A3DB1AD38D91F7t0pAN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C433569EC75BDB9694B4C4C59D418F3C95077EB4A91392B95F10449407B4B09BECFBAAD1C5C4A02C3FF6D098FB4FEBD403CC0BEA4BC3A3DB1AD38D91F7t0pAN" TargetMode="External"/><Relationship Id="rId9" Type="http://schemas.openxmlformats.org/officeDocument/2006/relationships/hyperlink" Target="consultantplus://offline/ref=C433569EC75BDB9694B4C4C59D418F3C95077EB4A91392B95F10449407B4B09BECFBAAD1C5C4A02C3FF6D098F843EBD403CC0BEA4BC3A3DB1AD38D91F7t0pAN" TargetMode="External"/><Relationship Id="rId14" Type="http://schemas.openxmlformats.org/officeDocument/2006/relationships/hyperlink" Target="consultantplus://offline/ref=C433569EC75BDB9694B4C4C59D418F3C95077EB4A9109BBE5F19479407B4B09BECFBAAD1C5C4A02C3FF6D49BFD47EBD403CC0BEA4BC3A3DB1AD38D91F7t0p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2536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Валерьевна Чичко</dc:creator>
  <cp:keywords/>
  <dc:description/>
  <cp:lastModifiedBy>Татьяна Анатольевна Шидловская</cp:lastModifiedBy>
  <cp:revision>2</cp:revision>
  <dcterms:created xsi:type="dcterms:W3CDTF">2024-02-02T14:30:00Z</dcterms:created>
  <dcterms:modified xsi:type="dcterms:W3CDTF">2024-02-02T14:30:00Z</dcterms:modified>
</cp:coreProperties>
</file>