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2.xml" ContentType="application/vnd.openxmlformats-officedocument.themeOverride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57" w:rsidRPr="0039122F" w:rsidRDefault="00A06C15" w:rsidP="000F3B57">
      <w:pPr>
        <w:pStyle w:val="Default"/>
        <w:ind w:left="3960"/>
        <w:jc w:val="center"/>
        <w:rPr>
          <w:rFonts w:ascii="Times New Roman" w:hAnsi="Times New Roman" w:cs="Times New Roman"/>
          <w:sz w:val="60"/>
          <w:szCs w:val="60"/>
        </w:rPr>
      </w:pPr>
      <w:r w:rsidRPr="0039122F">
        <w:rPr>
          <w:rFonts w:ascii="Times New Roman" w:hAnsi="Times New Roman" w:cs="Times New Roman"/>
          <w:b/>
          <w:bCs/>
          <w:sz w:val="60"/>
          <w:szCs w:val="60"/>
        </w:rPr>
        <w:t>11</w:t>
      </w:r>
      <w:r w:rsidR="000F3B57" w:rsidRPr="0039122F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</w:p>
    <w:p w:rsidR="00860806" w:rsidRPr="0039122F" w:rsidRDefault="0039122F" w:rsidP="0039122F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50"/>
          <w:szCs w:val="50"/>
        </w:rPr>
      </w:pPr>
      <w:r w:rsidRPr="0039122F">
        <w:rPr>
          <w:rFonts w:ascii="Times New Roman" w:hAnsi="Times New Roman" w:cs="Times New Roman"/>
          <w:b/>
          <w:bCs/>
          <w:sz w:val="50"/>
          <w:szCs w:val="50"/>
        </w:rPr>
        <w:t>Глава</w:t>
      </w:r>
    </w:p>
    <w:p w:rsidR="000F3B57" w:rsidRPr="0039122F" w:rsidRDefault="000F3B57" w:rsidP="000F3B5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122F" w:rsidRPr="0039122F" w:rsidRDefault="0039122F" w:rsidP="000F3B57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806" w:rsidRPr="000C0EB4" w:rsidRDefault="00860806" w:rsidP="000F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ОТХОДЫ</w:t>
      </w:r>
    </w:p>
    <w:p w:rsidR="009E337A" w:rsidRPr="000F3B57" w:rsidRDefault="009E337A" w:rsidP="000F3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60806" w:rsidRPr="0057185E" w:rsidRDefault="00860806" w:rsidP="005718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71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57185E" w:rsidRPr="00A06C1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Pr="00571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.1. Образование отходов </w:t>
      </w:r>
    </w:p>
    <w:p w:rsidR="000F3B57" w:rsidRPr="000C0EB4" w:rsidRDefault="000F3B57" w:rsidP="005718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60806" w:rsidRPr="0057185E" w:rsidRDefault="00860806" w:rsidP="005718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85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Отходы производства </w:t>
      </w:r>
    </w:p>
    <w:p w:rsidR="00A3371A" w:rsidRPr="0057185E" w:rsidRDefault="00E411EE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5E">
        <w:rPr>
          <w:rFonts w:ascii="Times New Roman" w:hAnsi="Times New Roman" w:cs="Times New Roman"/>
          <w:sz w:val="24"/>
          <w:szCs w:val="24"/>
        </w:rPr>
        <w:t>В</w:t>
      </w:r>
      <w:r w:rsidR="00A3371A" w:rsidRPr="0057185E">
        <w:rPr>
          <w:rFonts w:ascii="Times New Roman" w:hAnsi="Times New Roman" w:cs="Times New Roman"/>
          <w:sz w:val="24"/>
          <w:szCs w:val="24"/>
        </w:rPr>
        <w:t xml:space="preserve"> 2015 г. в Республике Беларус</w:t>
      </w:r>
      <w:r w:rsidR="00E01DCA" w:rsidRPr="0057185E">
        <w:rPr>
          <w:rFonts w:ascii="Times New Roman" w:hAnsi="Times New Roman" w:cs="Times New Roman"/>
          <w:sz w:val="24"/>
          <w:szCs w:val="24"/>
        </w:rPr>
        <w:t xml:space="preserve">ь образовано около 49,9 млн. т </w:t>
      </w:r>
      <w:r w:rsidR="00A3371A" w:rsidRPr="0057185E">
        <w:rPr>
          <w:rFonts w:ascii="Times New Roman" w:hAnsi="Times New Roman" w:cs="Times New Roman"/>
          <w:sz w:val="24"/>
          <w:szCs w:val="24"/>
        </w:rPr>
        <w:t>отх</w:t>
      </w:r>
      <w:r w:rsidR="00E01DCA" w:rsidRPr="0057185E">
        <w:rPr>
          <w:rFonts w:ascii="Times New Roman" w:hAnsi="Times New Roman" w:cs="Times New Roman"/>
          <w:sz w:val="24"/>
          <w:szCs w:val="24"/>
        </w:rPr>
        <w:t>одов производства</w:t>
      </w:r>
      <w:r w:rsidR="00A3371A" w:rsidRPr="005718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20DF9" w:rsidRPr="0057185E" w:rsidRDefault="00520DF9" w:rsidP="000C0EB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5E">
        <w:rPr>
          <w:rFonts w:ascii="Times New Roman" w:hAnsi="Times New Roman" w:cs="Times New Roman"/>
          <w:sz w:val="24"/>
          <w:szCs w:val="24"/>
        </w:rPr>
        <w:t xml:space="preserve">По сравнению с предыдущим годом уменьшение объема образования отходов </w:t>
      </w:r>
      <w:r w:rsidR="00E01DCA" w:rsidRPr="0057185E">
        <w:rPr>
          <w:rFonts w:ascii="Times New Roman" w:hAnsi="Times New Roman" w:cs="Times New Roman"/>
          <w:sz w:val="24"/>
          <w:szCs w:val="24"/>
        </w:rPr>
        <w:t xml:space="preserve">составило 5 %, что обусловлено уменьшением </w:t>
      </w:r>
      <w:r w:rsidRPr="0057185E">
        <w:rPr>
          <w:rFonts w:ascii="Times New Roman" w:hAnsi="Times New Roman" w:cs="Times New Roman"/>
          <w:sz w:val="24"/>
          <w:szCs w:val="24"/>
        </w:rPr>
        <w:t>годового выхода отходов производства пищевых и вкусовых продуктов, металлургических шлаков, вскрышных пород и др.</w:t>
      </w:r>
      <w:r w:rsidR="004930ED" w:rsidRPr="0057185E">
        <w:rPr>
          <w:rFonts w:ascii="Times New Roman" w:hAnsi="Times New Roman" w:cs="Times New Roman"/>
          <w:sz w:val="24"/>
          <w:szCs w:val="24"/>
        </w:rPr>
        <w:t xml:space="preserve"> (рис. 1</w:t>
      </w:r>
      <w:r w:rsidR="0057185E" w:rsidRPr="00A06C15">
        <w:rPr>
          <w:rFonts w:ascii="Times New Roman" w:hAnsi="Times New Roman" w:cs="Times New Roman"/>
          <w:sz w:val="24"/>
          <w:szCs w:val="24"/>
        </w:rPr>
        <w:t>1</w:t>
      </w:r>
      <w:r w:rsidR="004930ED" w:rsidRPr="0057185E">
        <w:rPr>
          <w:rFonts w:ascii="Times New Roman" w:hAnsi="Times New Roman" w:cs="Times New Roman"/>
          <w:sz w:val="24"/>
          <w:szCs w:val="24"/>
        </w:rPr>
        <w:t>.1).</w:t>
      </w:r>
      <w:r w:rsidRPr="0057185E"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D754BC" w:rsidRPr="0057185E">
        <w:rPr>
          <w:rFonts w:ascii="Times New Roman" w:hAnsi="Times New Roman" w:cs="Times New Roman"/>
          <w:sz w:val="24"/>
          <w:szCs w:val="24"/>
        </w:rPr>
        <w:t xml:space="preserve">, </w:t>
      </w:r>
      <w:r w:rsidRPr="0057185E">
        <w:rPr>
          <w:rFonts w:ascii="Times New Roman" w:hAnsi="Times New Roman" w:cs="Times New Roman"/>
          <w:sz w:val="24"/>
          <w:szCs w:val="24"/>
        </w:rPr>
        <w:t>объем образования вскрышных пород уменьшился по сравнению с 2014 г. на 1,14 млн. т.</w:t>
      </w:r>
    </w:p>
    <w:p w:rsidR="004930ED" w:rsidRDefault="00EE3260" w:rsidP="00D53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6450" cy="26384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185E" w:rsidRPr="00A06C15" w:rsidRDefault="004930ED" w:rsidP="00F4107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E406F">
        <w:rPr>
          <w:rFonts w:ascii="Times New Roman" w:hAnsi="Times New Roman" w:cs="Times New Roman"/>
          <w:b/>
          <w:bCs/>
          <w:iCs/>
          <w:sz w:val="22"/>
          <w:szCs w:val="22"/>
        </w:rPr>
        <w:t>Рис. 1</w:t>
      </w:r>
      <w:r w:rsidR="0057185E" w:rsidRPr="00EE406F">
        <w:rPr>
          <w:rFonts w:ascii="Times New Roman" w:hAnsi="Times New Roman" w:cs="Times New Roman"/>
          <w:b/>
          <w:bCs/>
          <w:iCs/>
          <w:sz w:val="22"/>
          <w:szCs w:val="22"/>
        </w:rPr>
        <w:t>1</w:t>
      </w:r>
      <w:r w:rsidRPr="00EE406F">
        <w:rPr>
          <w:rFonts w:ascii="Times New Roman" w:hAnsi="Times New Roman" w:cs="Times New Roman"/>
          <w:b/>
          <w:bCs/>
          <w:iCs/>
          <w:sz w:val="22"/>
          <w:szCs w:val="22"/>
        </w:rPr>
        <w:t>.1</w:t>
      </w:r>
      <w:r w:rsidRPr="0057185E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. </w:t>
      </w:r>
      <w:r w:rsidRPr="0057185E">
        <w:rPr>
          <w:rFonts w:ascii="Times New Roman" w:hAnsi="Times New Roman" w:cs="Times New Roman"/>
          <w:b/>
          <w:bCs/>
          <w:sz w:val="22"/>
          <w:szCs w:val="22"/>
        </w:rPr>
        <w:t>Динамика образования отходов производства</w:t>
      </w:r>
      <w:r w:rsidR="00D03D4E" w:rsidRPr="005718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7185E">
        <w:rPr>
          <w:rFonts w:ascii="Times New Roman" w:hAnsi="Times New Roman" w:cs="Times New Roman"/>
          <w:b/>
          <w:bCs/>
          <w:sz w:val="22"/>
          <w:szCs w:val="22"/>
        </w:rPr>
        <w:t>в 2005–201</w:t>
      </w:r>
      <w:r w:rsidR="004C58E3" w:rsidRPr="0057185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57185E">
        <w:rPr>
          <w:rFonts w:ascii="Times New Roman" w:hAnsi="Times New Roman" w:cs="Times New Roman"/>
          <w:b/>
          <w:bCs/>
          <w:sz w:val="22"/>
          <w:szCs w:val="22"/>
        </w:rPr>
        <w:t xml:space="preserve">гг. </w:t>
      </w:r>
    </w:p>
    <w:p w:rsidR="004930ED" w:rsidRPr="0057185E" w:rsidRDefault="004930ED" w:rsidP="00F4107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7185E">
        <w:rPr>
          <w:rFonts w:ascii="Times New Roman" w:hAnsi="Times New Roman" w:cs="Times New Roman"/>
          <w:b/>
          <w:bCs/>
          <w:sz w:val="22"/>
          <w:szCs w:val="22"/>
        </w:rPr>
        <w:t>(по данным Национального статистического</w:t>
      </w:r>
      <w:r w:rsidR="00D03D4E" w:rsidRPr="0057185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7185E">
        <w:rPr>
          <w:rFonts w:ascii="Times New Roman" w:hAnsi="Times New Roman" w:cs="Times New Roman"/>
          <w:b/>
          <w:bCs/>
          <w:sz w:val="22"/>
          <w:szCs w:val="22"/>
        </w:rPr>
        <w:t>комитета Республики Беларусь)</w:t>
      </w:r>
    </w:p>
    <w:p w:rsidR="0057185E" w:rsidRPr="0057185E" w:rsidRDefault="0057185E" w:rsidP="00D54EC5">
      <w:pPr>
        <w:pStyle w:val="Defaul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4BC" w:rsidRDefault="00D754BC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5E">
        <w:rPr>
          <w:rFonts w:ascii="Times New Roman" w:hAnsi="Times New Roman" w:cs="Times New Roman"/>
          <w:color w:val="000000"/>
          <w:sz w:val="24"/>
          <w:szCs w:val="24"/>
        </w:rPr>
        <w:t>В общем объеме образования отходов значительн</w:t>
      </w:r>
      <w:r w:rsidR="00E01DCA" w:rsidRPr="0057185E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="00D03D4E"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1DCA" w:rsidRPr="0057185E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D03D4E"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составляют крупнотоннажные отходы: </w:t>
      </w:r>
      <w:proofErr w:type="spellStart"/>
      <w:r w:rsidRPr="0057185E">
        <w:rPr>
          <w:rFonts w:ascii="Times New Roman" w:hAnsi="Times New Roman" w:cs="Times New Roman"/>
          <w:color w:val="000000"/>
          <w:sz w:val="24"/>
          <w:szCs w:val="24"/>
        </w:rPr>
        <w:t>галитовые</w:t>
      </w:r>
      <w:proofErr w:type="spellEnd"/>
      <w:r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 отходы и шламы </w:t>
      </w:r>
      <w:proofErr w:type="spellStart"/>
      <w:r w:rsidRPr="0057185E">
        <w:rPr>
          <w:rFonts w:ascii="Times New Roman" w:hAnsi="Times New Roman" w:cs="Times New Roman"/>
          <w:color w:val="000000"/>
          <w:sz w:val="24"/>
          <w:szCs w:val="24"/>
        </w:rPr>
        <w:t>галитовые</w:t>
      </w:r>
      <w:proofErr w:type="spellEnd"/>
      <w:r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 глинисто</w:t>
      </w:r>
      <w:r w:rsidR="008F1068" w:rsidRPr="0057185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солевые – 33,69 млн. т (68%) и </w:t>
      </w:r>
      <w:proofErr w:type="spellStart"/>
      <w:r w:rsidRPr="0057185E">
        <w:rPr>
          <w:rFonts w:ascii="Times New Roman" w:hAnsi="Times New Roman" w:cs="Times New Roman"/>
          <w:color w:val="000000"/>
          <w:sz w:val="24"/>
          <w:szCs w:val="24"/>
        </w:rPr>
        <w:t>фосфогипс</w:t>
      </w:r>
      <w:proofErr w:type="spellEnd"/>
      <w:r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 – 660,1 тыс. т (1,3%). Если рассматривать образование отходов производства без учета крупнотоннажных отходов, то в 2015 г. их объем равня</w:t>
      </w:r>
      <w:r w:rsidR="004930ED" w:rsidRPr="0057185E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="00BE2CCB" w:rsidRPr="0057185E">
        <w:rPr>
          <w:rFonts w:ascii="Times New Roman" w:hAnsi="Times New Roman" w:cs="Times New Roman"/>
          <w:sz w:val="24"/>
          <w:szCs w:val="24"/>
        </w:rPr>
        <w:t>1</w:t>
      </w:r>
      <w:r w:rsidR="00BE2CCB">
        <w:rPr>
          <w:rFonts w:ascii="Times New Roman" w:hAnsi="Times New Roman" w:cs="Times New Roman"/>
          <w:sz w:val="24"/>
          <w:szCs w:val="24"/>
        </w:rPr>
        <w:t>6172</w:t>
      </w:r>
      <w:r w:rsidR="003E69BC" w:rsidRPr="0057185E">
        <w:rPr>
          <w:rFonts w:ascii="Times New Roman" w:hAnsi="Times New Roman" w:cs="Times New Roman"/>
          <w:sz w:val="24"/>
          <w:szCs w:val="24"/>
        </w:rPr>
        <w:t> </w:t>
      </w:r>
      <w:r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 тыс. т (табл. 1</w:t>
      </w:r>
      <w:r w:rsidR="0057185E" w:rsidRPr="00A06C1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7185E">
        <w:rPr>
          <w:rFonts w:ascii="Times New Roman" w:hAnsi="Times New Roman" w:cs="Times New Roman"/>
          <w:color w:val="000000"/>
          <w:sz w:val="24"/>
          <w:szCs w:val="24"/>
        </w:rPr>
        <w:t xml:space="preserve">.1) и уменьшился по сравнению с </w:t>
      </w:r>
      <w:r w:rsidRPr="0057185E">
        <w:rPr>
          <w:rFonts w:ascii="Times New Roman" w:hAnsi="Times New Roman" w:cs="Times New Roman"/>
          <w:sz w:val="24"/>
          <w:szCs w:val="24"/>
        </w:rPr>
        <w:t>предыдущим годом на 15%.</w:t>
      </w:r>
    </w:p>
    <w:p w:rsidR="00A72F59" w:rsidRPr="0057185E" w:rsidRDefault="00A72F59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5E">
        <w:rPr>
          <w:rFonts w:ascii="Times New Roman" w:hAnsi="Times New Roman" w:cs="Times New Roman"/>
          <w:sz w:val="24"/>
          <w:szCs w:val="24"/>
        </w:rPr>
        <w:t xml:space="preserve">Образование отходов производства на территории Беларуси неравномерно. </w:t>
      </w:r>
      <w:proofErr w:type="gramStart"/>
      <w:r w:rsidRPr="0057185E">
        <w:rPr>
          <w:rFonts w:ascii="Times New Roman" w:hAnsi="Times New Roman" w:cs="Times New Roman"/>
          <w:sz w:val="24"/>
          <w:szCs w:val="24"/>
        </w:rPr>
        <w:t xml:space="preserve">Без учета галитовых отходов и глинисто–солевых шламов и </w:t>
      </w:r>
      <w:proofErr w:type="spellStart"/>
      <w:r w:rsidRPr="0057185E">
        <w:rPr>
          <w:rFonts w:ascii="Times New Roman" w:hAnsi="Times New Roman" w:cs="Times New Roman"/>
          <w:sz w:val="24"/>
          <w:szCs w:val="24"/>
        </w:rPr>
        <w:t>фосфогипса</w:t>
      </w:r>
      <w:proofErr w:type="spellEnd"/>
      <w:r w:rsidRPr="0057185E">
        <w:rPr>
          <w:rFonts w:ascii="Times New Roman" w:hAnsi="Times New Roman" w:cs="Times New Roman"/>
          <w:sz w:val="24"/>
          <w:szCs w:val="24"/>
        </w:rPr>
        <w:t xml:space="preserve"> около 29,7% отходов образуется на предприятиях, расположенных в Могилевской области; 15,7% – в Гомельской; 18,7% – в Минской; 12,8% – в г. Минске; 11,5% – в Гродненской; 8% – в Брестской; 3,6% – в Витебской области.</w:t>
      </w:r>
      <w:proofErr w:type="gramEnd"/>
    </w:p>
    <w:p w:rsidR="00A72F59" w:rsidRPr="00EE406F" w:rsidRDefault="00A72F59" w:rsidP="000C0E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22F" w:rsidRPr="00EE406F" w:rsidRDefault="0039122F" w:rsidP="004C4A60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4C4A60" w:rsidRPr="0057185E" w:rsidRDefault="002D6FCB" w:rsidP="004C4A6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7185E">
        <w:rPr>
          <w:rFonts w:ascii="Times New Roman" w:hAnsi="Times New Roman" w:cs="Times New Roman"/>
          <w:b/>
          <w:i/>
        </w:rPr>
        <w:lastRenderedPageBreak/>
        <w:t>Таблица 1</w:t>
      </w:r>
      <w:r w:rsidR="0057185E" w:rsidRPr="00A06C15">
        <w:rPr>
          <w:rFonts w:ascii="Times New Roman" w:hAnsi="Times New Roman" w:cs="Times New Roman"/>
          <w:b/>
          <w:i/>
        </w:rPr>
        <w:t>1</w:t>
      </w:r>
      <w:r w:rsidRPr="0057185E">
        <w:rPr>
          <w:rFonts w:ascii="Times New Roman" w:hAnsi="Times New Roman" w:cs="Times New Roman"/>
          <w:b/>
          <w:i/>
        </w:rPr>
        <w:t>.1</w:t>
      </w:r>
    </w:p>
    <w:p w:rsidR="002D6FCB" w:rsidRPr="0057185E" w:rsidRDefault="002D6FCB" w:rsidP="0057185E">
      <w:pPr>
        <w:spacing w:line="240" w:lineRule="auto"/>
        <w:jc w:val="center"/>
        <w:rPr>
          <w:rFonts w:ascii="Times New Roman" w:hAnsi="Times New Roman" w:cs="Times New Roman"/>
        </w:rPr>
      </w:pPr>
      <w:r w:rsidRPr="0057185E">
        <w:rPr>
          <w:rFonts w:ascii="Times New Roman" w:hAnsi="Times New Roman" w:cs="Times New Roman"/>
          <w:b/>
        </w:rPr>
        <w:t xml:space="preserve">Образование, использование и удаление отходов на предприятиях Республики Беларусь в 2015 г. </w:t>
      </w:r>
      <w:r w:rsidR="004930ED" w:rsidRPr="0057185E">
        <w:rPr>
          <w:rFonts w:ascii="Times New Roman" w:hAnsi="Times New Roman" w:cs="Times New Roman"/>
          <w:b/>
        </w:rPr>
        <w:t xml:space="preserve">без учета крупнотоннажных отходов </w:t>
      </w:r>
      <w:r w:rsidRPr="0057185E">
        <w:rPr>
          <w:rFonts w:ascii="Times New Roman" w:hAnsi="Times New Roman" w:cs="Times New Roman"/>
          <w:b/>
        </w:rPr>
        <w:t>(в разрезе областей), тыс. 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1417"/>
        <w:gridCol w:w="1985"/>
      </w:tblGrid>
      <w:tr w:rsidR="00661212" w:rsidRPr="00005568" w:rsidTr="007D401C">
        <w:trPr>
          <w:trHeight w:val="1084"/>
        </w:trPr>
        <w:tc>
          <w:tcPr>
            <w:tcW w:w="2127" w:type="dxa"/>
            <w:vAlign w:val="center"/>
          </w:tcPr>
          <w:p w:rsidR="00C610CB" w:rsidRPr="007D401C" w:rsidRDefault="00C610CB" w:rsidP="00661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559" w:type="dxa"/>
            <w:vAlign w:val="center"/>
          </w:tcPr>
          <w:p w:rsidR="00C610CB" w:rsidRPr="007D401C" w:rsidRDefault="00C610CB" w:rsidP="00661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Образовано</w:t>
            </w:r>
          </w:p>
        </w:tc>
        <w:tc>
          <w:tcPr>
            <w:tcW w:w="1843" w:type="dxa"/>
            <w:vAlign w:val="center"/>
          </w:tcPr>
          <w:p w:rsidR="00C610CB" w:rsidRPr="007D401C" w:rsidRDefault="00C610CB" w:rsidP="00661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Использовано, передано</w:t>
            </w:r>
          </w:p>
        </w:tc>
        <w:tc>
          <w:tcPr>
            <w:tcW w:w="1417" w:type="dxa"/>
            <w:vAlign w:val="center"/>
          </w:tcPr>
          <w:p w:rsidR="00C610CB" w:rsidRPr="007D401C" w:rsidRDefault="00C610CB" w:rsidP="00661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Удалено**</w:t>
            </w:r>
          </w:p>
        </w:tc>
        <w:tc>
          <w:tcPr>
            <w:tcW w:w="1985" w:type="dxa"/>
            <w:vAlign w:val="center"/>
          </w:tcPr>
          <w:p w:rsidR="00C610CB" w:rsidRPr="007D401C" w:rsidRDefault="00C610CB" w:rsidP="0066121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Наличие на предприятиях в конце года</w:t>
            </w:r>
          </w:p>
        </w:tc>
      </w:tr>
      <w:tr w:rsidR="007D401C" w:rsidRPr="002F78A1" w:rsidTr="007D401C">
        <w:trPr>
          <w:trHeight w:val="397"/>
        </w:trPr>
        <w:tc>
          <w:tcPr>
            <w:tcW w:w="2127" w:type="dxa"/>
            <w:vAlign w:val="center"/>
          </w:tcPr>
          <w:p w:rsidR="00C610CB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Брестская</w:t>
            </w:r>
          </w:p>
        </w:tc>
        <w:tc>
          <w:tcPr>
            <w:tcW w:w="1559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1843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1417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985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</w:tr>
      <w:tr w:rsidR="007D401C" w:rsidRPr="002F78A1" w:rsidTr="007D401C">
        <w:trPr>
          <w:trHeight w:val="397"/>
        </w:trPr>
        <w:tc>
          <w:tcPr>
            <w:tcW w:w="2127" w:type="dxa"/>
            <w:vAlign w:val="center"/>
          </w:tcPr>
          <w:p w:rsidR="00C610CB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Витебская</w:t>
            </w:r>
          </w:p>
        </w:tc>
        <w:tc>
          <w:tcPr>
            <w:tcW w:w="1559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843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417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85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7D401C" w:rsidRPr="002F78A1" w:rsidTr="007D401C">
        <w:trPr>
          <w:trHeight w:val="397"/>
        </w:trPr>
        <w:tc>
          <w:tcPr>
            <w:tcW w:w="2127" w:type="dxa"/>
            <w:vAlign w:val="center"/>
          </w:tcPr>
          <w:p w:rsidR="00C610CB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Гомельская</w:t>
            </w:r>
          </w:p>
        </w:tc>
        <w:tc>
          <w:tcPr>
            <w:tcW w:w="1559" w:type="dxa"/>
            <w:vAlign w:val="center"/>
          </w:tcPr>
          <w:p w:rsidR="00C610CB" w:rsidRPr="007D401C" w:rsidRDefault="00865726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1843" w:type="dxa"/>
            <w:vAlign w:val="center"/>
          </w:tcPr>
          <w:p w:rsidR="00C610CB" w:rsidRPr="007D401C" w:rsidRDefault="00865726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1417" w:type="dxa"/>
            <w:vAlign w:val="center"/>
          </w:tcPr>
          <w:p w:rsidR="00C610CB" w:rsidRPr="007D401C" w:rsidRDefault="006D35C3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1985" w:type="dxa"/>
            <w:vAlign w:val="center"/>
          </w:tcPr>
          <w:p w:rsidR="00C610CB" w:rsidRPr="007D401C" w:rsidRDefault="00C610CB" w:rsidP="006D35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7290</w:t>
            </w:r>
          </w:p>
        </w:tc>
      </w:tr>
      <w:tr w:rsidR="007D401C" w:rsidRPr="002F78A1" w:rsidTr="007D401C">
        <w:trPr>
          <w:trHeight w:val="397"/>
        </w:trPr>
        <w:tc>
          <w:tcPr>
            <w:tcW w:w="2127" w:type="dxa"/>
            <w:vAlign w:val="center"/>
          </w:tcPr>
          <w:p w:rsidR="00C610CB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Гродненская</w:t>
            </w:r>
          </w:p>
        </w:tc>
        <w:tc>
          <w:tcPr>
            <w:tcW w:w="1559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1843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1417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985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3129</w:t>
            </w:r>
          </w:p>
        </w:tc>
      </w:tr>
      <w:tr w:rsidR="007D401C" w:rsidRPr="002F78A1" w:rsidTr="007D401C">
        <w:trPr>
          <w:trHeight w:val="397"/>
        </w:trPr>
        <w:tc>
          <w:tcPr>
            <w:tcW w:w="2127" w:type="dxa"/>
            <w:vAlign w:val="center"/>
          </w:tcPr>
          <w:p w:rsidR="00C610CB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Минская</w:t>
            </w:r>
          </w:p>
        </w:tc>
        <w:tc>
          <w:tcPr>
            <w:tcW w:w="1559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1843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1417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985" w:type="dxa"/>
            <w:vAlign w:val="center"/>
          </w:tcPr>
          <w:p w:rsidR="00C610CB" w:rsidRPr="007D401C" w:rsidRDefault="00C610CB" w:rsidP="00F31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2216</w:t>
            </w:r>
          </w:p>
        </w:tc>
      </w:tr>
      <w:tr w:rsidR="007D401C" w:rsidRPr="002F78A1" w:rsidTr="007D401C">
        <w:trPr>
          <w:trHeight w:val="397"/>
        </w:trPr>
        <w:tc>
          <w:tcPr>
            <w:tcW w:w="2127" w:type="dxa"/>
            <w:vAlign w:val="center"/>
          </w:tcPr>
          <w:p w:rsidR="00C610CB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</w:p>
        </w:tc>
        <w:tc>
          <w:tcPr>
            <w:tcW w:w="1559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1177</w:t>
            </w:r>
          </w:p>
        </w:tc>
        <w:tc>
          <w:tcPr>
            <w:tcW w:w="1417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985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</w:tr>
      <w:tr w:rsidR="007D401C" w:rsidRPr="002F78A1" w:rsidTr="007D401C">
        <w:trPr>
          <w:trHeight w:val="397"/>
        </w:trPr>
        <w:tc>
          <w:tcPr>
            <w:tcW w:w="2127" w:type="dxa"/>
            <w:vAlign w:val="center"/>
          </w:tcPr>
          <w:p w:rsidR="00C610CB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</w:p>
        </w:tc>
        <w:tc>
          <w:tcPr>
            <w:tcW w:w="1559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4605</w:t>
            </w:r>
          </w:p>
        </w:tc>
        <w:tc>
          <w:tcPr>
            <w:tcW w:w="1843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</w:p>
        </w:tc>
        <w:tc>
          <w:tcPr>
            <w:tcW w:w="1417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2264</w:t>
            </w:r>
          </w:p>
        </w:tc>
        <w:tc>
          <w:tcPr>
            <w:tcW w:w="1985" w:type="dxa"/>
            <w:vAlign w:val="center"/>
          </w:tcPr>
          <w:p w:rsidR="00C610CB" w:rsidRPr="007D401C" w:rsidRDefault="00C610CB" w:rsidP="007D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14245</w:t>
            </w:r>
          </w:p>
        </w:tc>
      </w:tr>
      <w:tr w:rsidR="00C610CB" w:rsidRPr="002F78A1" w:rsidTr="007D401C">
        <w:trPr>
          <w:trHeight w:val="397"/>
        </w:trPr>
        <w:tc>
          <w:tcPr>
            <w:tcW w:w="2127" w:type="dxa"/>
            <w:vAlign w:val="center"/>
          </w:tcPr>
          <w:p w:rsidR="00661212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</w:p>
          <w:p w:rsidR="00C610CB" w:rsidRPr="007D401C" w:rsidRDefault="00C610CB" w:rsidP="006612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C"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1559" w:type="dxa"/>
            <w:vAlign w:val="center"/>
          </w:tcPr>
          <w:p w:rsidR="00C610CB" w:rsidRPr="00FA1561" w:rsidRDefault="00485813" w:rsidP="00485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1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610CB" w:rsidRPr="00FA1561" w:rsidRDefault="007D401C" w:rsidP="004858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561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  <w:r w:rsidR="0048581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A15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610CB" w:rsidRPr="00FA1561" w:rsidRDefault="00505901" w:rsidP="005059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56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FA156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C610CB" w:rsidRPr="00FA1561" w:rsidRDefault="007D401C" w:rsidP="007D40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561">
              <w:rPr>
                <w:rFonts w:ascii="Times New Roman" w:hAnsi="Times New Roman" w:cs="Times New Roman"/>
                <w:bCs/>
                <w:sz w:val="24"/>
                <w:szCs w:val="24"/>
              </w:rPr>
              <w:t>31745</w:t>
            </w:r>
          </w:p>
        </w:tc>
      </w:tr>
    </w:tbl>
    <w:p w:rsidR="00FA1561" w:rsidRPr="0057185E" w:rsidRDefault="00FA1561" w:rsidP="00FA15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85E">
        <w:rPr>
          <w:rFonts w:ascii="Times New Roman" w:hAnsi="Times New Roman" w:cs="Times New Roman"/>
        </w:rPr>
        <w:t>*Незначительные расхождения в данных объясняются округлением;</w:t>
      </w:r>
    </w:p>
    <w:p w:rsidR="00FA1561" w:rsidRPr="0057185E" w:rsidRDefault="00FA1561" w:rsidP="00FA15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85E">
        <w:rPr>
          <w:rFonts w:ascii="Times New Roman" w:hAnsi="Times New Roman" w:cs="Times New Roman"/>
        </w:rPr>
        <w:t>**На хранение, захоронение, обезвреживание.</w:t>
      </w:r>
    </w:p>
    <w:p w:rsidR="00FA1561" w:rsidRDefault="00FA1561" w:rsidP="00FA1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60806" w:rsidRPr="0057185E" w:rsidRDefault="00860806" w:rsidP="000C0EB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7185E">
        <w:rPr>
          <w:rFonts w:ascii="Times New Roman" w:hAnsi="Times New Roman" w:cs="Times New Roman"/>
          <w:color w:val="auto"/>
        </w:rPr>
        <w:t>Во всех областях и г.</w:t>
      </w:r>
      <w:r w:rsidR="00D03D4E" w:rsidRPr="0057185E">
        <w:rPr>
          <w:rFonts w:ascii="Times New Roman" w:hAnsi="Times New Roman" w:cs="Times New Roman"/>
          <w:color w:val="auto"/>
        </w:rPr>
        <w:t xml:space="preserve"> </w:t>
      </w:r>
      <w:r w:rsidRPr="0057185E">
        <w:rPr>
          <w:rFonts w:ascii="Times New Roman" w:hAnsi="Times New Roman" w:cs="Times New Roman"/>
          <w:color w:val="auto"/>
        </w:rPr>
        <w:t>Минске основные объемы образования отходов определяются суммар</w:t>
      </w:r>
      <w:r w:rsidR="000F3B57" w:rsidRPr="0057185E">
        <w:rPr>
          <w:rFonts w:ascii="Times New Roman" w:hAnsi="Times New Roman" w:cs="Times New Roman"/>
          <w:color w:val="auto"/>
        </w:rPr>
        <w:t xml:space="preserve">ными объемами отходов по </w:t>
      </w:r>
      <w:proofErr w:type="spellStart"/>
      <w:r w:rsidR="000F3B57" w:rsidRPr="0057185E">
        <w:rPr>
          <w:rFonts w:ascii="Times New Roman" w:hAnsi="Times New Roman" w:cs="Times New Roman"/>
          <w:color w:val="auto"/>
        </w:rPr>
        <w:t>отходо</w:t>
      </w:r>
      <w:r w:rsidRPr="0057185E">
        <w:rPr>
          <w:rFonts w:ascii="Times New Roman" w:hAnsi="Times New Roman" w:cs="Times New Roman"/>
          <w:color w:val="auto"/>
        </w:rPr>
        <w:t>образующим</w:t>
      </w:r>
      <w:proofErr w:type="spellEnd"/>
      <w:r w:rsidRPr="0057185E">
        <w:rPr>
          <w:rFonts w:ascii="Times New Roman" w:hAnsi="Times New Roman" w:cs="Times New Roman"/>
          <w:color w:val="auto"/>
        </w:rPr>
        <w:t xml:space="preserve"> предприятиям</w:t>
      </w:r>
      <w:r w:rsidR="000F3B57" w:rsidRPr="0057185E">
        <w:rPr>
          <w:rFonts w:ascii="Times New Roman" w:hAnsi="Times New Roman" w:cs="Times New Roman"/>
          <w:color w:val="auto"/>
        </w:rPr>
        <w:t>. В частности, согласно ста</w:t>
      </w:r>
      <w:r w:rsidRPr="0057185E">
        <w:rPr>
          <w:rFonts w:ascii="Times New Roman" w:hAnsi="Times New Roman" w:cs="Times New Roman"/>
          <w:color w:val="auto"/>
        </w:rPr>
        <w:t>тистическим данным за период 2006–201</w:t>
      </w:r>
      <w:r w:rsidR="002C2A87" w:rsidRPr="0057185E">
        <w:rPr>
          <w:rFonts w:ascii="Times New Roman" w:hAnsi="Times New Roman" w:cs="Times New Roman"/>
          <w:color w:val="auto"/>
        </w:rPr>
        <w:t>5</w:t>
      </w:r>
      <w:r w:rsidRPr="0057185E">
        <w:rPr>
          <w:rFonts w:ascii="Times New Roman" w:hAnsi="Times New Roman" w:cs="Times New Roman"/>
          <w:color w:val="auto"/>
        </w:rPr>
        <w:t xml:space="preserve"> гг. свыше 7</w:t>
      </w:r>
      <w:r w:rsidR="007F61A7" w:rsidRPr="0057185E">
        <w:rPr>
          <w:rFonts w:ascii="Times New Roman" w:hAnsi="Times New Roman" w:cs="Times New Roman"/>
          <w:color w:val="auto"/>
        </w:rPr>
        <w:t>0</w:t>
      </w:r>
      <w:r w:rsidRPr="0057185E">
        <w:rPr>
          <w:rFonts w:ascii="Times New Roman" w:hAnsi="Times New Roman" w:cs="Times New Roman"/>
          <w:color w:val="auto"/>
        </w:rPr>
        <w:t>% отходов в Брестской области образует</w:t>
      </w:r>
      <w:r w:rsidR="000F3B57" w:rsidRPr="0057185E">
        <w:rPr>
          <w:rFonts w:ascii="Times New Roman" w:hAnsi="Times New Roman" w:cs="Times New Roman"/>
          <w:color w:val="auto"/>
        </w:rPr>
        <w:t>ся на Брестском КУП ВКХ «Водока</w:t>
      </w:r>
      <w:r w:rsidRPr="0057185E">
        <w:rPr>
          <w:rFonts w:ascii="Times New Roman" w:hAnsi="Times New Roman" w:cs="Times New Roman"/>
          <w:color w:val="auto"/>
        </w:rPr>
        <w:t xml:space="preserve">нал», ОАО </w:t>
      </w:r>
      <w:r w:rsidR="00F633D3" w:rsidRPr="0057185E">
        <w:rPr>
          <w:rFonts w:ascii="Times New Roman" w:hAnsi="Times New Roman" w:cs="Times New Roman"/>
          <w:color w:val="auto"/>
        </w:rPr>
        <w:t>«</w:t>
      </w:r>
      <w:proofErr w:type="spellStart"/>
      <w:r w:rsidRPr="0057185E">
        <w:rPr>
          <w:rFonts w:ascii="Times New Roman" w:hAnsi="Times New Roman" w:cs="Times New Roman"/>
          <w:color w:val="auto"/>
        </w:rPr>
        <w:t>Жабинковский</w:t>
      </w:r>
      <w:proofErr w:type="spellEnd"/>
      <w:r w:rsidRPr="0057185E">
        <w:rPr>
          <w:rFonts w:ascii="Times New Roman" w:hAnsi="Times New Roman" w:cs="Times New Roman"/>
          <w:color w:val="auto"/>
        </w:rPr>
        <w:t xml:space="preserve"> са</w:t>
      </w:r>
      <w:r w:rsidR="000F3B57" w:rsidRPr="0057185E">
        <w:rPr>
          <w:rFonts w:ascii="Times New Roman" w:hAnsi="Times New Roman" w:cs="Times New Roman"/>
          <w:color w:val="auto"/>
        </w:rPr>
        <w:t>харный завод», в филиале «</w:t>
      </w:r>
      <w:proofErr w:type="spellStart"/>
      <w:r w:rsidR="000F3B57" w:rsidRPr="0057185E">
        <w:rPr>
          <w:rFonts w:ascii="Times New Roman" w:hAnsi="Times New Roman" w:cs="Times New Roman"/>
          <w:color w:val="auto"/>
        </w:rPr>
        <w:t>Иваце</w:t>
      </w:r>
      <w:r w:rsidRPr="0057185E">
        <w:rPr>
          <w:rFonts w:ascii="Times New Roman" w:hAnsi="Times New Roman" w:cs="Times New Roman"/>
          <w:color w:val="auto"/>
        </w:rPr>
        <w:t>вичский</w:t>
      </w:r>
      <w:proofErr w:type="spellEnd"/>
      <w:r w:rsidR="00D03D4E" w:rsidRPr="0057185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7185E">
        <w:rPr>
          <w:rFonts w:ascii="Times New Roman" w:hAnsi="Times New Roman" w:cs="Times New Roman"/>
          <w:color w:val="auto"/>
        </w:rPr>
        <w:t>спиртзавод</w:t>
      </w:r>
      <w:proofErr w:type="spellEnd"/>
      <w:r w:rsidRPr="0057185E">
        <w:rPr>
          <w:rFonts w:ascii="Times New Roman" w:hAnsi="Times New Roman" w:cs="Times New Roman"/>
          <w:color w:val="auto"/>
        </w:rPr>
        <w:t>», ЗАО «</w:t>
      </w:r>
      <w:proofErr w:type="spellStart"/>
      <w:r w:rsidRPr="0057185E">
        <w:rPr>
          <w:rFonts w:ascii="Times New Roman" w:hAnsi="Times New Roman" w:cs="Times New Roman"/>
          <w:color w:val="auto"/>
        </w:rPr>
        <w:t>Пинскдрев</w:t>
      </w:r>
      <w:proofErr w:type="spellEnd"/>
      <w:r w:rsidRPr="0057185E">
        <w:rPr>
          <w:rFonts w:ascii="Times New Roman" w:hAnsi="Times New Roman" w:cs="Times New Roman"/>
          <w:color w:val="auto"/>
        </w:rPr>
        <w:t>», филиале «</w:t>
      </w:r>
      <w:proofErr w:type="spellStart"/>
      <w:r w:rsidRPr="0057185E">
        <w:rPr>
          <w:rFonts w:ascii="Times New Roman" w:hAnsi="Times New Roman" w:cs="Times New Roman"/>
          <w:color w:val="auto"/>
        </w:rPr>
        <w:t>Бродницкий</w:t>
      </w:r>
      <w:proofErr w:type="spellEnd"/>
      <w:r w:rsidRPr="0057185E">
        <w:rPr>
          <w:rFonts w:ascii="Times New Roman" w:hAnsi="Times New Roman" w:cs="Times New Roman"/>
          <w:color w:val="auto"/>
        </w:rPr>
        <w:t xml:space="preserve"> крахмальный завод», ГУПП </w:t>
      </w:r>
      <w:r w:rsidR="00D227D1" w:rsidRPr="0057185E">
        <w:rPr>
          <w:rFonts w:ascii="Times New Roman" w:hAnsi="Times New Roman" w:cs="Times New Roman"/>
          <w:color w:val="auto"/>
        </w:rPr>
        <w:t>«Березовское ЖКХ», ОАО «Березов</w:t>
      </w:r>
      <w:r w:rsidRPr="0057185E">
        <w:rPr>
          <w:rFonts w:ascii="Times New Roman" w:hAnsi="Times New Roman" w:cs="Times New Roman"/>
          <w:color w:val="auto"/>
        </w:rPr>
        <w:t>ский комбинат силикатных изделий», ОАО «</w:t>
      </w:r>
      <w:proofErr w:type="spellStart"/>
      <w:r w:rsidRPr="0057185E">
        <w:rPr>
          <w:rFonts w:ascii="Times New Roman" w:hAnsi="Times New Roman" w:cs="Times New Roman"/>
          <w:color w:val="auto"/>
        </w:rPr>
        <w:t>Ивацевичидрев</w:t>
      </w:r>
      <w:proofErr w:type="spellEnd"/>
      <w:r w:rsidRPr="0057185E">
        <w:rPr>
          <w:rFonts w:ascii="Times New Roman" w:hAnsi="Times New Roman" w:cs="Times New Roman"/>
          <w:color w:val="auto"/>
        </w:rPr>
        <w:t>», ОАО «</w:t>
      </w:r>
      <w:proofErr w:type="spellStart"/>
      <w:r w:rsidRPr="0057185E">
        <w:rPr>
          <w:rFonts w:ascii="Times New Roman" w:hAnsi="Times New Roman" w:cs="Times New Roman"/>
          <w:color w:val="auto"/>
        </w:rPr>
        <w:t>Лунинецлес</w:t>
      </w:r>
      <w:proofErr w:type="spellEnd"/>
      <w:r w:rsidRPr="0057185E">
        <w:rPr>
          <w:rFonts w:ascii="Times New Roman" w:hAnsi="Times New Roman" w:cs="Times New Roman"/>
          <w:color w:val="auto"/>
        </w:rPr>
        <w:t>», ОАО «</w:t>
      </w:r>
      <w:proofErr w:type="spellStart"/>
      <w:r w:rsidRPr="0057185E">
        <w:rPr>
          <w:rFonts w:ascii="Times New Roman" w:hAnsi="Times New Roman" w:cs="Times New Roman"/>
          <w:color w:val="auto"/>
        </w:rPr>
        <w:t>Белсолод</w:t>
      </w:r>
      <w:proofErr w:type="spellEnd"/>
      <w:r w:rsidRPr="0057185E">
        <w:rPr>
          <w:rFonts w:ascii="Times New Roman" w:hAnsi="Times New Roman" w:cs="Times New Roman"/>
          <w:color w:val="auto"/>
        </w:rPr>
        <w:t>»; около 77% в Могилевской области – на ПРУП «Белорусский цементный завод», РУП «Завод газетной бумаги», ОАО «</w:t>
      </w:r>
      <w:proofErr w:type="spellStart"/>
      <w:r w:rsidRPr="0057185E">
        <w:rPr>
          <w:rFonts w:ascii="Times New Roman" w:hAnsi="Times New Roman" w:cs="Times New Roman"/>
          <w:color w:val="auto"/>
        </w:rPr>
        <w:t>Фанд</w:t>
      </w:r>
      <w:r w:rsidR="00D227D1" w:rsidRPr="0057185E">
        <w:rPr>
          <w:rFonts w:ascii="Times New Roman" w:hAnsi="Times New Roman" w:cs="Times New Roman"/>
          <w:color w:val="auto"/>
        </w:rPr>
        <w:t>ок</w:t>
      </w:r>
      <w:proofErr w:type="spellEnd"/>
      <w:r w:rsidR="00D227D1" w:rsidRPr="0057185E">
        <w:rPr>
          <w:rFonts w:ascii="Times New Roman" w:hAnsi="Times New Roman" w:cs="Times New Roman"/>
          <w:color w:val="auto"/>
        </w:rPr>
        <w:t xml:space="preserve">», ОАО «Могилевский ЗИВ», </w:t>
      </w:r>
      <w:proofErr w:type="spellStart"/>
      <w:r w:rsidR="00D227D1" w:rsidRPr="0057185E">
        <w:rPr>
          <w:rFonts w:ascii="Times New Roman" w:hAnsi="Times New Roman" w:cs="Times New Roman"/>
          <w:color w:val="auto"/>
        </w:rPr>
        <w:t>Кос</w:t>
      </w:r>
      <w:r w:rsidRPr="0057185E">
        <w:rPr>
          <w:rFonts w:ascii="Times New Roman" w:hAnsi="Times New Roman" w:cs="Times New Roman"/>
          <w:color w:val="auto"/>
        </w:rPr>
        <w:t>тюковичский</w:t>
      </w:r>
      <w:proofErr w:type="spellEnd"/>
      <w:r w:rsidR="00D03D4E" w:rsidRPr="0057185E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7185E">
        <w:rPr>
          <w:rFonts w:ascii="Times New Roman" w:hAnsi="Times New Roman" w:cs="Times New Roman"/>
          <w:color w:val="auto"/>
        </w:rPr>
        <w:t>спиртзавод</w:t>
      </w:r>
      <w:proofErr w:type="spellEnd"/>
      <w:r w:rsidRPr="0057185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57185E">
        <w:rPr>
          <w:rFonts w:ascii="Times New Roman" w:hAnsi="Times New Roman" w:cs="Times New Roman"/>
          <w:color w:val="auto"/>
        </w:rPr>
        <w:t>Бобруйский</w:t>
      </w:r>
      <w:proofErr w:type="spellEnd"/>
      <w:r w:rsidRPr="0057185E">
        <w:rPr>
          <w:rFonts w:ascii="Times New Roman" w:hAnsi="Times New Roman" w:cs="Times New Roman"/>
          <w:color w:val="auto"/>
        </w:rPr>
        <w:t xml:space="preserve"> РУП «Гидролизный завод». </w:t>
      </w:r>
    </w:p>
    <w:p w:rsidR="00860806" w:rsidRPr="0057185E" w:rsidRDefault="007F61A7" w:rsidP="000C0EB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57185E">
        <w:rPr>
          <w:rFonts w:ascii="Times New Roman" w:hAnsi="Times New Roman" w:cs="Times New Roman"/>
          <w:color w:val="auto"/>
        </w:rPr>
        <w:t xml:space="preserve">Свыше </w:t>
      </w:r>
      <w:r w:rsidR="00860806" w:rsidRPr="0057185E">
        <w:rPr>
          <w:rFonts w:ascii="Times New Roman" w:hAnsi="Times New Roman" w:cs="Times New Roman"/>
          <w:color w:val="auto"/>
        </w:rPr>
        <w:t>7</w:t>
      </w:r>
      <w:r w:rsidRPr="0057185E">
        <w:rPr>
          <w:rFonts w:ascii="Times New Roman" w:hAnsi="Times New Roman" w:cs="Times New Roman"/>
          <w:color w:val="auto"/>
        </w:rPr>
        <w:t>7</w:t>
      </w:r>
      <w:r w:rsidR="00860806" w:rsidRPr="0057185E">
        <w:rPr>
          <w:rFonts w:ascii="Times New Roman" w:hAnsi="Times New Roman" w:cs="Times New Roman"/>
          <w:color w:val="auto"/>
        </w:rPr>
        <w:t>% (38,</w:t>
      </w:r>
      <w:r w:rsidRPr="0057185E">
        <w:rPr>
          <w:rFonts w:ascii="Times New Roman" w:hAnsi="Times New Roman" w:cs="Times New Roman"/>
          <w:color w:val="auto"/>
        </w:rPr>
        <w:t>61</w:t>
      </w:r>
      <w:r w:rsidR="00860806" w:rsidRPr="0057185E">
        <w:rPr>
          <w:rFonts w:ascii="Times New Roman" w:hAnsi="Times New Roman" w:cs="Times New Roman"/>
          <w:color w:val="auto"/>
        </w:rPr>
        <w:t xml:space="preserve"> млн</w:t>
      </w:r>
      <w:r w:rsidR="00D227D1" w:rsidRPr="0057185E">
        <w:rPr>
          <w:rFonts w:ascii="Times New Roman" w:hAnsi="Times New Roman" w:cs="Times New Roman"/>
          <w:color w:val="auto"/>
        </w:rPr>
        <w:t>.</w:t>
      </w:r>
      <w:r w:rsidR="00860806" w:rsidRPr="0057185E">
        <w:rPr>
          <w:rFonts w:ascii="Times New Roman" w:hAnsi="Times New Roman" w:cs="Times New Roman"/>
          <w:color w:val="auto"/>
        </w:rPr>
        <w:t xml:space="preserve"> т) образующихся в стране отходов приходится на обрабатывающую промышленность, далее следует горнодобывающая промышленнос</w:t>
      </w:r>
      <w:r w:rsidR="00D227D1" w:rsidRPr="0057185E">
        <w:rPr>
          <w:rFonts w:ascii="Times New Roman" w:hAnsi="Times New Roman" w:cs="Times New Roman"/>
          <w:color w:val="auto"/>
        </w:rPr>
        <w:t xml:space="preserve">ть – </w:t>
      </w:r>
      <w:r w:rsidRPr="0057185E">
        <w:rPr>
          <w:rFonts w:ascii="Times New Roman" w:hAnsi="Times New Roman" w:cs="Times New Roman"/>
          <w:color w:val="auto"/>
        </w:rPr>
        <w:t>более8</w:t>
      </w:r>
      <w:r w:rsidR="00D227D1" w:rsidRPr="0057185E">
        <w:rPr>
          <w:rFonts w:ascii="Times New Roman" w:hAnsi="Times New Roman" w:cs="Times New Roman"/>
          <w:color w:val="auto"/>
        </w:rPr>
        <w:t>% (</w:t>
      </w:r>
      <w:r w:rsidRPr="0057185E">
        <w:rPr>
          <w:rFonts w:ascii="Times New Roman" w:hAnsi="Times New Roman" w:cs="Times New Roman"/>
          <w:color w:val="auto"/>
        </w:rPr>
        <w:t>4,16</w:t>
      </w:r>
      <w:r w:rsidR="00D227D1" w:rsidRPr="0057185E">
        <w:rPr>
          <w:rFonts w:ascii="Times New Roman" w:hAnsi="Times New Roman" w:cs="Times New Roman"/>
          <w:color w:val="auto"/>
        </w:rPr>
        <w:t xml:space="preserve"> млн</w:t>
      </w:r>
      <w:r w:rsidR="00E01DCA" w:rsidRPr="0057185E">
        <w:rPr>
          <w:rFonts w:ascii="Times New Roman" w:hAnsi="Times New Roman" w:cs="Times New Roman"/>
          <w:color w:val="auto"/>
        </w:rPr>
        <w:t>.</w:t>
      </w:r>
      <w:r w:rsidR="00D227D1" w:rsidRPr="0057185E">
        <w:rPr>
          <w:rFonts w:ascii="Times New Roman" w:hAnsi="Times New Roman" w:cs="Times New Roman"/>
          <w:color w:val="auto"/>
        </w:rPr>
        <w:t xml:space="preserve"> т), ос</w:t>
      </w:r>
      <w:r w:rsidR="00860806" w:rsidRPr="0057185E">
        <w:rPr>
          <w:rFonts w:ascii="Times New Roman" w:hAnsi="Times New Roman" w:cs="Times New Roman"/>
          <w:color w:val="auto"/>
        </w:rPr>
        <w:t>тальные 15% (</w:t>
      </w:r>
      <w:r w:rsidRPr="0057185E">
        <w:rPr>
          <w:rFonts w:ascii="Times New Roman" w:hAnsi="Times New Roman" w:cs="Times New Roman"/>
          <w:color w:val="auto"/>
        </w:rPr>
        <w:t>7</w:t>
      </w:r>
      <w:r w:rsidR="00860806" w:rsidRPr="0057185E">
        <w:rPr>
          <w:rFonts w:ascii="Times New Roman" w:hAnsi="Times New Roman" w:cs="Times New Roman"/>
          <w:color w:val="auto"/>
        </w:rPr>
        <w:t>,09 млн</w:t>
      </w:r>
      <w:r w:rsidR="00E01DCA" w:rsidRPr="0057185E">
        <w:rPr>
          <w:rFonts w:ascii="Times New Roman" w:hAnsi="Times New Roman" w:cs="Times New Roman"/>
          <w:color w:val="auto"/>
        </w:rPr>
        <w:t>.</w:t>
      </w:r>
      <w:r w:rsidR="00860806" w:rsidRPr="0057185E">
        <w:rPr>
          <w:rFonts w:ascii="Times New Roman" w:hAnsi="Times New Roman" w:cs="Times New Roman"/>
          <w:color w:val="auto"/>
        </w:rPr>
        <w:t xml:space="preserve"> т) приход</w:t>
      </w:r>
      <w:r w:rsidR="00D227D1" w:rsidRPr="0057185E">
        <w:rPr>
          <w:rFonts w:ascii="Times New Roman" w:hAnsi="Times New Roman" w:cs="Times New Roman"/>
          <w:color w:val="auto"/>
        </w:rPr>
        <w:t>ятся на производство и распреде</w:t>
      </w:r>
      <w:r w:rsidR="00860806" w:rsidRPr="0057185E">
        <w:rPr>
          <w:rFonts w:ascii="Times New Roman" w:hAnsi="Times New Roman" w:cs="Times New Roman"/>
          <w:color w:val="auto"/>
        </w:rPr>
        <w:t>ление электроэнергии, газа и во</w:t>
      </w:r>
      <w:r w:rsidR="00D227D1" w:rsidRPr="0057185E">
        <w:rPr>
          <w:rFonts w:ascii="Times New Roman" w:hAnsi="Times New Roman" w:cs="Times New Roman"/>
          <w:color w:val="auto"/>
        </w:rPr>
        <w:t>ды, строи</w:t>
      </w:r>
      <w:r w:rsidR="00F633D3" w:rsidRPr="0057185E">
        <w:rPr>
          <w:rFonts w:ascii="Times New Roman" w:hAnsi="Times New Roman" w:cs="Times New Roman"/>
          <w:color w:val="auto"/>
        </w:rPr>
        <w:t>т</w:t>
      </w:r>
      <w:r w:rsidR="00D227D1" w:rsidRPr="0057185E">
        <w:rPr>
          <w:rFonts w:ascii="Times New Roman" w:hAnsi="Times New Roman" w:cs="Times New Roman"/>
          <w:color w:val="auto"/>
        </w:rPr>
        <w:t>ельство и сельское хо</w:t>
      </w:r>
      <w:r w:rsidR="00860806" w:rsidRPr="0057185E">
        <w:rPr>
          <w:rFonts w:ascii="Times New Roman" w:hAnsi="Times New Roman" w:cs="Times New Roman"/>
          <w:color w:val="auto"/>
        </w:rPr>
        <w:t xml:space="preserve">зяйство. </w:t>
      </w:r>
    </w:p>
    <w:p w:rsidR="007C349B" w:rsidRPr="0057185E" w:rsidRDefault="002C2A87" w:rsidP="000C0EB4">
      <w:pPr>
        <w:pStyle w:val="31"/>
        <w:spacing w:after="0" w:line="276" w:lineRule="auto"/>
        <w:ind w:left="0"/>
        <w:rPr>
          <w:sz w:val="24"/>
          <w:szCs w:val="24"/>
        </w:rPr>
      </w:pPr>
      <w:r w:rsidRPr="0057185E">
        <w:rPr>
          <w:sz w:val="24"/>
          <w:szCs w:val="24"/>
        </w:rPr>
        <w:t xml:space="preserve">В 2015 г. в Беларуси </w:t>
      </w:r>
      <w:r w:rsidR="00EE5538" w:rsidRPr="0057185E">
        <w:rPr>
          <w:sz w:val="24"/>
          <w:szCs w:val="24"/>
        </w:rPr>
        <w:t>установлено</w:t>
      </w:r>
      <w:r w:rsidR="00221D05" w:rsidRPr="0057185E">
        <w:rPr>
          <w:sz w:val="24"/>
          <w:szCs w:val="24"/>
        </w:rPr>
        <w:t xml:space="preserve"> 1402 наименования </w:t>
      </w:r>
      <w:r w:rsidR="00EE5538" w:rsidRPr="0057185E">
        <w:rPr>
          <w:sz w:val="24"/>
          <w:szCs w:val="24"/>
        </w:rPr>
        <w:t xml:space="preserve">образующихся </w:t>
      </w:r>
      <w:r w:rsidRPr="0057185E">
        <w:rPr>
          <w:sz w:val="24"/>
          <w:szCs w:val="24"/>
        </w:rPr>
        <w:t xml:space="preserve">отходов с широким спектром морфологических и химических свойств. </w:t>
      </w:r>
      <w:proofErr w:type="gramStart"/>
      <w:r w:rsidRPr="0057185E">
        <w:rPr>
          <w:sz w:val="24"/>
          <w:szCs w:val="24"/>
        </w:rPr>
        <w:t>С</w:t>
      </w:r>
      <w:r w:rsidR="00860806" w:rsidRPr="0057185E">
        <w:rPr>
          <w:sz w:val="24"/>
          <w:szCs w:val="24"/>
        </w:rPr>
        <w:t xml:space="preserve">труктура </w:t>
      </w:r>
      <w:r w:rsidR="00221D05" w:rsidRPr="0057185E">
        <w:rPr>
          <w:sz w:val="24"/>
          <w:szCs w:val="24"/>
        </w:rPr>
        <w:t>градации</w:t>
      </w:r>
      <w:r w:rsidR="00860806" w:rsidRPr="0057185E">
        <w:rPr>
          <w:sz w:val="24"/>
          <w:szCs w:val="24"/>
        </w:rPr>
        <w:t xml:space="preserve"> отходов (без учета крупнотоннажных) была следующей:</w:t>
      </w:r>
      <w:r w:rsidR="00D03D4E" w:rsidRPr="0057185E">
        <w:rPr>
          <w:sz w:val="24"/>
          <w:szCs w:val="24"/>
        </w:rPr>
        <w:t xml:space="preserve"> </w:t>
      </w:r>
      <w:r w:rsidR="007C349B" w:rsidRPr="0057185E">
        <w:rPr>
          <w:sz w:val="24"/>
          <w:szCs w:val="24"/>
        </w:rPr>
        <w:t>в общей массе отхо</w:t>
      </w:r>
      <w:r w:rsidR="00C258E6" w:rsidRPr="0057185E">
        <w:rPr>
          <w:sz w:val="24"/>
          <w:szCs w:val="24"/>
        </w:rPr>
        <w:t xml:space="preserve">дов (15511,9 </w:t>
      </w:r>
      <w:r w:rsidR="007C349B" w:rsidRPr="0057185E">
        <w:rPr>
          <w:sz w:val="24"/>
          <w:szCs w:val="24"/>
        </w:rPr>
        <w:t>тыс.</w:t>
      </w:r>
      <w:r w:rsidR="00D03D4E" w:rsidRPr="0057185E">
        <w:rPr>
          <w:sz w:val="24"/>
          <w:szCs w:val="24"/>
        </w:rPr>
        <w:t> </w:t>
      </w:r>
      <w:r w:rsidR="007C349B" w:rsidRPr="0057185E">
        <w:rPr>
          <w:sz w:val="24"/>
          <w:szCs w:val="24"/>
        </w:rPr>
        <w:t>т) доля отходов минерального происхождения составляет 56,1%, отходов растительного и животного происхождения – 26,5%, отходов жизнедеятельности населения и подобных им отходов промышленности – 4,4%, отходов химических производств и производств, связанных с ними – 3,0%, отходов (осадков) водоподготовки котельно</w:t>
      </w:r>
      <w:r w:rsidR="008F1068" w:rsidRPr="0057185E">
        <w:rPr>
          <w:sz w:val="24"/>
          <w:szCs w:val="24"/>
        </w:rPr>
        <w:t>–</w:t>
      </w:r>
      <w:r w:rsidR="007C349B" w:rsidRPr="0057185E">
        <w:rPr>
          <w:sz w:val="24"/>
          <w:szCs w:val="24"/>
        </w:rPr>
        <w:t>теплового хозяйства и питьевой воды, очистки сточных, дождевых вод и использования воды</w:t>
      </w:r>
      <w:proofErr w:type="gramEnd"/>
      <w:r w:rsidR="007C349B" w:rsidRPr="0057185E">
        <w:rPr>
          <w:sz w:val="24"/>
          <w:szCs w:val="24"/>
        </w:rPr>
        <w:t xml:space="preserve"> на электростанциях – 9,9</w:t>
      </w:r>
      <w:r w:rsidR="00221D05" w:rsidRPr="0057185E">
        <w:rPr>
          <w:sz w:val="24"/>
          <w:szCs w:val="24"/>
        </w:rPr>
        <w:t xml:space="preserve">% и медицинских отходов – 0,1% </w:t>
      </w:r>
      <w:r w:rsidR="007C349B" w:rsidRPr="0057185E">
        <w:rPr>
          <w:sz w:val="24"/>
          <w:szCs w:val="24"/>
        </w:rPr>
        <w:t>(рис.</w:t>
      </w:r>
      <w:r w:rsidR="003E69BC" w:rsidRPr="0057185E">
        <w:rPr>
          <w:sz w:val="24"/>
          <w:szCs w:val="24"/>
        </w:rPr>
        <w:t>1</w:t>
      </w:r>
      <w:r w:rsidR="000D3ED8" w:rsidRPr="000D3ED8">
        <w:rPr>
          <w:sz w:val="24"/>
          <w:szCs w:val="24"/>
        </w:rPr>
        <w:t>1</w:t>
      </w:r>
      <w:r w:rsidR="003E69BC" w:rsidRPr="0057185E">
        <w:rPr>
          <w:sz w:val="24"/>
          <w:szCs w:val="24"/>
        </w:rPr>
        <w:t>.2</w:t>
      </w:r>
      <w:r w:rsidR="007C349B" w:rsidRPr="0057185E">
        <w:rPr>
          <w:sz w:val="24"/>
          <w:szCs w:val="24"/>
        </w:rPr>
        <w:t>).</w:t>
      </w:r>
    </w:p>
    <w:p w:rsidR="00CA13CD" w:rsidRPr="007C349B" w:rsidRDefault="00CA13CD" w:rsidP="007C349B">
      <w:pPr>
        <w:pStyle w:val="31"/>
        <w:spacing w:after="0" w:line="240" w:lineRule="auto"/>
        <w:ind w:left="0" w:firstLine="567"/>
        <w:rPr>
          <w:sz w:val="28"/>
          <w:szCs w:val="28"/>
        </w:rPr>
      </w:pPr>
    </w:p>
    <w:p w:rsidR="0057185E" w:rsidRPr="00EE406F" w:rsidRDefault="007C349B" w:rsidP="00EE406F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 wp14:anchorId="13FE74F3" wp14:editId="23D942BB">
            <wp:extent cx="6124575" cy="34385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E406F">
        <w:t>Рис</w:t>
      </w:r>
      <w:r w:rsidR="00CF0CA6" w:rsidRPr="00EE406F">
        <w:t>.</w:t>
      </w:r>
      <w:r w:rsidRPr="00EE406F">
        <w:t xml:space="preserve"> 1</w:t>
      </w:r>
      <w:r w:rsidR="000D3ED8" w:rsidRPr="00EE406F">
        <w:t>1</w:t>
      </w:r>
      <w:r w:rsidR="003E69BC" w:rsidRPr="00EE406F">
        <w:t>.</w:t>
      </w:r>
      <w:r w:rsidRPr="00EE406F">
        <w:t>2</w:t>
      </w:r>
      <w:r w:rsidR="00EE406F" w:rsidRPr="00EE406F">
        <w:t>.</w:t>
      </w:r>
      <w:r w:rsidR="000D3ED8" w:rsidRPr="00EE406F">
        <w:t xml:space="preserve"> </w:t>
      </w:r>
      <w:r w:rsidRPr="00EE406F">
        <w:t>Структура образования отходов производства в 2015 г.</w:t>
      </w:r>
      <w:r w:rsidR="00221D05" w:rsidRPr="00EE406F">
        <w:t>, %</w:t>
      </w:r>
      <w:r w:rsidRPr="00EE406F">
        <w:t xml:space="preserve"> </w:t>
      </w:r>
    </w:p>
    <w:p w:rsidR="007C349B" w:rsidRPr="00EE406F" w:rsidRDefault="007C349B" w:rsidP="00EE406F">
      <w:pPr>
        <w:pStyle w:val="a5"/>
      </w:pPr>
      <w:r w:rsidRPr="00EE406F">
        <w:t>(без учета крупнотоннажных отходов)</w:t>
      </w:r>
    </w:p>
    <w:p w:rsidR="00DF021E" w:rsidRDefault="00DF021E" w:rsidP="00EE406F">
      <w:pPr>
        <w:pStyle w:val="a5"/>
      </w:pPr>
    </w:p>
    <w:p w:rsidR="004A55D3" w:rsidRPr="0057185E" w:rsidRDefault="004A55D3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5E">
        <w:rPr>
          <w:rFonts w:ascii="Times New Roman" w:hAnsi="Times New Roman" w:cs="Times New Roman"/>
          <w:sz w:val="24"/>
          <w:szCs w:val="24"/>
        </w:rPr>
        <w:t>В 2015 г. на предприятиях Брестской обл</w:t>
      </w:r>
      <w:r w:rsidR="00EE5538" w:rsidRPr="0057185E">
        <w:rPr>
          <w:rFonts w:ascii="Times New Roman" w:hAnsi="Times New Roman" w:cs="Times New Roman"/>
          <w:sz w:val="24"/>
          <w:szCs w:val="24"/>
        </w:rPr>
        <w:t>асти образовалось 1244,0 тыс. </w:t>
      </w:r>
      <w:r w:rsidR="00221D05" w:rsidRPr="0057185E">
        <w:rPr>
          <w:rFonts w:ascii="Times New Roman" w:hAnsi="Times New Roman" w:cs="Times New Roman"/>
          <w:sz w:val="24"/>
          <w:szCs w:val="24"/>
        </w:rPr>
        <w:t xml:space="preserve">т </w:t>
      </w:r>
      <w:r w:rsidRPr="0057185E">
        <w:rPr>
          <w:rFonts w:ascii="Times New Roman" w:hAnsi="Times New Roman" w:cs="Times New Roman"/>
          <w:sz w:val="24"/>
          <w:szCs w:val="24"/>
        </w:rPr>
        <w:t>отходов</w:t>
      </w:r>
      <w:r w:rsidR="008D3AD2" w:rsidRPr="0057185E">
        <w:rPr>
          <w:rFonts w:ascii="Times New Roman" w:hAnsi="Times New Roman" w:cs="Times New Roman"/>
          <w:sz w:val="24"/>
          <w:szCs w:val="24"/>
        </w:rPr>
        <w:t xml:space="preserve"> (рис. 1</w:t>
      </w:r>
      <w:r w:rsidR="000D3ED8" w:rsidRPr="000D3ED8">
        <w:rPr>
          <w:rFonts w:ascii="Times New Roman" w:hAnsi="Times New Roman" w:cs="Times New Roman"/>
          <w:sz w:val="24"/>
          <w:szCs w:val="24"/>
        </w:rPr>
        <w:t>1</w:t>
      </w:r>
      <w:r w:rsidR="008D3AD2" w:rsidRPr="0057185E">
        <w:rPr>
          <w:rFonts w:ascii="Times New Roman" w:hAnsi="Times New Roman" w:cs="Times New Roman"/>
          <w:sz w:val="24"/>
          <w:szCs w:val="24"/>
        </w:rPr>
        <w:t>.3)</w:t>
      </w:r>
      <w:r w:rsidRPr="0057185E">
        <w:rPr>
          <w:rFonts w:ascii="Times New Roman" w:hAnsi="Times New Roman" w:cs="Times New Roman"/>
          <w:sz w:val="24"/>
          <w:szCs w:val="24"/>
        </w:rPr>
        <w:t xml:space="preserve">. Номенклатура отходов производства на предприятиях Брестской области составляет 617 наименований. Наибольшими объемами образования выделяются </w:t>
      </w:r>
      <w:r w:rsidR="00CA13CD" w:rsidRPr="0057185E">
        <w:rPr>
          <w:rFonts w:ascii="Times New Roman" w:hAnsi="Times New Roman" w:cs="Times New Roman"/>
          <w:sz w:val="24"/>
          <w:szCs w:val="24"/>
        </w:rPr>
        <w:t>отходы растительного и животного происхождения 582,6 тыс.</w:t>
      </w:r>
      <w:r w:rsidR="00EE5538" w:rsidRPr="0057185E">
        <w:rPr>
          <w:rFonts w:ascii="Times New Roman" w:hAnsi="Times New Roman" w:cs="Times New Roman"/>
          <w:sz w:val="24"/>
          <w:szCs w:val="24"/>
        </w:rPr>
        <w:t> </w:t>
      </w:r>
      <w:r w:rsidR="00CA13CD" w:rsidRPr="0057185E">
        <w:rPr>
          <w:rFonts w:ascii="Times New Roman" w:hAnsi="Times New Roman" w:cs="Times New Roman"/>
          <w:sz w:val="24"/>
          <w:szCs w:val="24"/>
        </w:rPr>
        <w:t>т (46,8%), отходы (осадки) водоподготовки котельно</w:t>
      </w:r>
      <w:r w:rsidR="008F1068" w:rsidRPr="0057185E">
        <w:rPr>
          <w:rFonts w:ascii="Times New Roman" w:hAnsi="Times New Roman" w:cs="Times New Roman"/>
          <w:sz w:val="24"/>
          <w:szCs w:val="24"/>
        </w:rPr>
        <w:t>–</w:t>
      </w:r>
      <w:r w:rsidR="00CA13CD" w:rsidRPr="0057185E">
        <w:rPr>
          <w:rFonts w:ascii="Times New Roman" w:hAnsi="Times New Roman" w:cs="Times New Roman"/>
          <w:sz w:val="24"/>
          <w:szCs w:val="24"/>
        </w:rPr>
        <w:t>теплового хозяйства и питьевой воды, очистки сточных, дождевых вод и использования воды на электростанциях приходится 357,1 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="00CA13CD" w:rsidRPr="0057185E">
        <w:rPr>
          <w:rFonts w:ascii="Times New Roman" w:hAnsi="Times New Roman" w:cs="Times New Roman"/>
          <w:sz w:val="24"/>
          <w:szCs w:val="24"/>
        </w:rPr>
        <w:t>т (28,7%),</w:t>
      </w:r>
      <w:r w:rsidRPr="0057185E">
        <w:rPr>
          <w:rFonts w:ascii="Times New Roman" w:hAnsi="Times New Roman" w:cs="Times New Roman"/>
          <w:sz w:val="24"/>
          <w:szCs w:val="24"/>
        </w:rPr>
        <w:t>отходы минерального происхождения 210,8 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Pr="0057185E">
        <w:rPr>
          <w:rFonts w:ascii="Times New Roman" w:hAnsi="Times New Roman" w:cs="Times New Roman"/>
          <w:sz w:val="24"/>
          <w:szCs w:val="24"/>
        </w:rPr>
        <w:t xml:space="preserve">т (17 % от общего объема образования отходов в Брестской области). На долю </w:t>
      </w:r>
      <w:r w:rsidR="00CA13CD" w:rsidRPr="0057185E">
        <w:rPr>
          <w:rFonts w:ascii="Times New Roman" w:hAnsi="Times New Roman" w:cs="Times New Roman"/>
          <w:sz w:val="24"/>
          <w:szCs w:val="24"/>
        </w:rPr>
        <w:t>отходов жизнедеятельности населения и подобные им отходы производства 58,8 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="00CA13CD" w:rsidRPr="0057185E">
        <w:rPr>
          <w:rFonts w:ascii="Times New Roman" w:hAnsi="Times New Roman" w:cs="Times New Roman"/>
          <w:sz w:val="24"/>
          <w:szCs w:val="24"/>
        </w:rPr>
        <w:t>т (4,7%)</w:t>
      </w:r>
      <w:r w:rsidRPr="0057185E">
        <w:rPr>
          <w:rFonts w:ascii="Times New Roman" w:hAnsi="Times New Roman" w:cs="Times New Roman"/>
          <w:sz w:val="24"/>
          <w:szCs w:val="24"/>
        </w:rPr>
        <w:t>; а отходов химических производств и производств, связанных с ними, и медицинских отходов, представляющих наибольшую экологическую опасность – 34,7 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Pr="0057185E">
        <w:rPr>
          <w:rFonts w:ascii="Times New Roman" w:hAnsi="Times New Roman" w:cs="Times New Roman"/>
          <w:sz w:val="24"/>
          <w:szCs w:val="24"/>
        </w:rPr>
        <w:t>т (2,8%).</w:t>
      </w:r>
    </w:p>
    <w:p w:rsidR="004A55D3" w:rsidRPr="0057185E" w:rsidRDefault="004A55D3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5E">
        <w:rPr>
          <w:rFonts w:ascii="Times New Roman" w:hAnsi="Times New Roman" w:cs="Times New Roman"/>
          <w:sz w:val="24"/>
          <w:szCs w:val="24"/>
        </w:rPr>
        <w:t xml:space="preserve">Около 81% отходов производства образуется на предприятиях Брестского (552,13 тыс. т), </w:t>
      </w:r>
      <w:proofErr w:type="spellStart"/>
      <w:r w:rsidRPr="0057185E">
        <w:rPr>
          <w:rFonts w:ascii="Times New Roman" w:hAnsi="Times New Roman" w:cs="Times New Roman"/>
          <w:sz w:val="24"/>
          <w:szCs w:val="24"/>
        </w:rPr>
        <w:t>Пинского</w:t>
      </w:r>
      <w:proofErr w:type="spellEnd"/>
      <w:r w:rsidRPr="0057185E">
        <w:rPr>
          <w:rFonts w:ascii="Times New Roman" w:hAnsi="Times New Roman" w:cs="Times New Roman"/>
          <w:sz w:val="24"/>
          <w:szCs w:val="24"/>
        </w:rPr>
        <w:t xml:space="preserve"> (209,35 тыс. т), Березовского (84,23 тыс</w:t>
      </w:r>
      <w:r w:rsidR="00D03D4E" w:rsidRPr="0057185E">
        <w:rPr>
          <w:rFonts w:ascii="Times New Roman" w:hAnsi="Times New Roman" w:cs="Times New Roman"/>
          <w:sz w:val="24"/>
          <w:szCs w:val="24"/>
        </w:rPr>
        <w:t xml:space="preserve">. т), </w:t>
      </w:r>
      <w:proofErr w:type="spellStart"/>
      <w:r w:rsidR="00D03D4E" w:rsidRPr="0057185E">
        <w:rPr>
          <w:rFonts w:ascii="Times New Roman" w:hAnsi="Times New Roman" w:cs="Times New Roman"/>
          <w:sz w:val="24"/>
          <w:szCs w:val="24"/>
        </w:rPr>
        <w:t>Ганцевичского</w:t>
      </w:r>
      <w:proofErr w:type="spellEnd"/>
      <w:r w:rsidR="00D03D4E" w:rsidRPr="0057185E">
        <w:rPr>
          <w:rFonts w:ascii="Times New Roman" w:hAnsi="Times New Roman" w:cs="Times New Roman"/>
          <w:sz w:val="24"/>
          <w:szCs w:val="24"/>
        </w:rPr>
        <w:t xml:space="preserve"> (76,96 тыс. </w:t>
      </w:r>
      <w:r w:rsidRPr="0057185E">
        <w:rPr>
          <w:rFonts w:ascii="Times New Roman" w:hAnsi="Times New Roman" w:cs="Times New Roman"/>
          <w:sz w:val="24"/>
          <w:szCs w:val="24"/>
        </w:rPr>
        <w:t xml:space="preserve">т) и </w:t>
      </w:r>
      <w:proofErr w:type="spellStart"/>
      <w:r w:rsidRPr="0057185E">
        <w:rPr>
          <w:rFonts w:ascii="Times New Roman" w:hAnsi="Times New Roman" w:cs="Times New Roman"/>
          <w:sz w:val="24"/>
          <w:szCs w:val="24"/>
        </w:rPr>
        <w:t>Барановичского</w:t>
      </w:r>
      <w:proofErr w:type="spellEnd"/>
      <w:r w:rsidRPr="0057185E">
        <w:rPr>
          <w:rFonts w:ascii="Times New Roman" w:hAnsi="Times New Roman" w:cs="Times New Roman"/>
          <w:sz w:val="24"/>
          <w:szCs w:val="24"/>
        </w:rPr>
        <w:t xml:space="preserve"> (84,23 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Pr="0057185E">
        <w:rPr>
          <w:rFonts w:ascii="Times New Roman" w:hAnsi="Times New Roman" w:cs="Times New Roman"/>
          <w:sz w:val="24"/>
          <w:szCs w:val="24"/>
        </w:rPr>
        <w:t xml:space="preserve">т), </w:t>
      </w:r>
      <w:proofErr w:type="spellStart"/>
      <w:r w:rsidRPr="0057185E">
        <w:rPr>
          <w:rFonts w:ascii="Times New Roman" w:hAnsi="Times New Roman" w:cs="Times New Roman"/>
          <w:sz w:val="24"/>
          <w:szCs w:val="24"/>
        </w:rPr>
        <w:t>Жабинковского</w:t>
      </w:r>
      <w:proofErr w:type="spellEnd"/>
      <w:r w:rsidRPr="0057185E">
        <w:rPr>
          <w:rFonts w:ascii="Times New Roman" w:hAnsi="Times New Roman" w:cs="Times New Roman"/>
          <w:sz w:val="24"/>
          <w:szCs w:val="24"/>
        </w:rPr>
        <w:t xml:space="preserve"> (93,23 тыс. т) районов.</w:t>
      </w:r>
    </w:p>
    <w:p w:rsidR="008D3AD2" w:rsidRDefault="008D3AD2" w:rsidP="00592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4550" w:rsidRDefault="008D3AD2" w:rsidP="00F56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F8A22D" wp14:editId="1D726A19">
            <wp:extent cx="5629275" cy="36385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2F59" w:rsidRDefault="008D3AD2" w:rsidP="00EE406F">
      <w:pPr>
        <w:pStyle w:val="a5"/>
      </w:pPr>
      <w:r w:rsidRPr="00EE406F">
        <w:t>Рис.1</w:t>
      </w:r>
      <w:r w:rsidR="000D3ED8" w:rsidRPr="00EE406F">
        <w:t>1</w:t>
      </w:r>
      <w:r w:rsidRPr="00EE406F">
        <w:t>.3</w:t>
      </w:r>
      <w:r w:rsidR="00EE406F" w:rsidRPr="00EE406F">
        <w:t>.</w:t>
      </w:r>
      <w:r w:rsidR="000D3ED8" w:rsidRPr="00EE406F">
        <w:t xml:space="preserve"> </w:t>
      </w:r>
      <w:r w:rsidRPr="00EE406F">
        <w:t xml:space="preserve">Динамика образования и использования отходов производства </w:t>
      </w:r>
    </w:p>
    <w:p w:rsidR="008D3AD2" w:rsidRPr="00EE406F" w:rsidRDefault="008D3AD2" w:rsidP="00EE406F">
      <w:pPr>
        <w:pStyle w:val="a5"/>
      </w:pPr>
      <w:r w:rsidRPr="00EE406F">
        <w:t>в Брестской области за 2005–2015 гг.</w:t>
      </w:r>
    </w:p>
    <w:p w:rsidR="00084550" w:rsidRDefault="00084550" w:rsidP="00592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036" w:rsidRPr="0057185E" w:rsidRDefault="000738D2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35697427"/>
      <w:bookmarkStart w:id="1" w:name="_Toc362258824"/>
      <w:r w:rsidRPr="0057185E">
        <w:rPr>
          <w:rFonts w:ascii="Times New Roman" w:hAnsi="Times New Roman" w:cs="Times New Roman"/>
          <w:sz w:val="24"/>
          <w:szCs w:val="24"/>
        </w:rPr>
        <w:t>Н</w:t>
      </w:r>
      <w:r w:rsidR="004A55D3" w:rsidRPr="0057185E">
        <w:rPr>
          <w:rFonts w:ascii="Times New Roman" w:hAnsi="Times New Roman" w:cs="Times New Roman"/>
          <w:sz w:val="24"/>
          <w:szCs w:val="24"/>
        </w:rPr>
        <w:t xml:space="preserve">а предприятиях Витебской области образовалось </w:t>
      </w:r>
      <w:r w:rsidR="005E0285">
        <w:rPr>
          <w:rFonts w:ascii="Times New Roman" w:hAnsi="Times New Roman" w:cs="Times New Roman"/>
          <w:sz w:val="24"/>
          <w:szCs w:val="24"/>
        </w:rPr>
        <w:t>552</w:t>
      </w:r>
      <w:r w:rsidR="00B824FA" w:rsidRPr="0057185E">
        <w:rPr>
          <w:rFonts w:ascii="Times New Roman" w:hAnsi="Times New Roman" w:cs="Times New Roman"/>
          <w:sz w:val="24"/>
          <w:szCs w:val="24"/>
        </w:rPr>
        <w:t xml:space="preserve"> </w:t>
      </w:r>
      <w:r w:rsidR="004A55D3" w:rsidRPr="0057185E">
        <w:rPr>
          <w:rFonts w:ascii="Times New Roman" w:hAnsi="Times New Roman" w:cs="Times New Roman"/>
          <w:sz w:val="24"/>
          <w:szCs w:val="24"/>
        </w:rPr>
        <w:t>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="004A55D3" w:rsidRPr="0057185E">
        <w:rPr>
          <w:rFonts w:ascii="Times New Roman" w:hAnsi="Times New Roman" w:cs="Times New Roman"/>
          <w:sz w:val="24"/>
          <w:szCs w:val="24"/>
        </w:rPr>
        <w:t>т. отходов (рис</w:t>
      </w:r>
      <w:r w:rsidR="004A4036" w:rsidRPr="0057185E">
        <w:rPr>
          <w:rFonts w:ascii="Times New Roman" w:hAnsi="Times New Roman" w:cs="Times New Roman"/>
          <w:sz w:val="24"/>
          <w:szCs w:val="24"/>
        </w:rPr>
        <w:t>.</w:t>
      </w:r>
      <w:r w:rsidR="00872F3C" w:rsidRPr="0057185E">
        <w:rPr>
          <w:rFonts w:ascii="Times New Roman" w:hAnsi="Times New Roman" w:cs="Times New Roman"/>
          <w:sz w:val="24"/>
          <w:szCs w:val="24"/>
        </w:rPr>
        <w:t> </w:t>
      </w:r>
      <w:r w:rsidR="00DF021E" w:rsidRPr="0057185E">
        <w:rPr>
          <w:rFonts w:ascii="Times New Roman" w:hAnsi="Times New Roman" w:cs="Times New Roman"/>
          <w:sz w:val="24"/>
          <w:szCs w:val="24"/>
        </w:rPr>
        <w:t>1</w:t>
      </w:r>
      <w:r w:rsidR="000D3ED8" w:rsidRPr="001C76A6">
        <w:rPr>
          <w:rFonts w:ascii="Times New Roman" w:hAnsi="Times New Roman" w:cs="Times New Roman"/>
          <w:sz w:val="24"/>
          <w:szCs w:val="24"/>
        </w:rPr>
        <w:t>1</w:t>
      </w:r>
      <w:r w:rsidR="00DF021E" w:rsidRPr="0057185E">
        <w:rPr>
          <w:rFonts w:ascii="Times New Roman" w:hAnsi="Times New Roman" w:cs="Times New Roman"/>
          <w:sz w:val="24"/>
          <w:szCs w:val="24"/>
        </w:rPr>
        <w:t>.</w:t>
      </w:r>
      <w:r w:rsidR="008D3AD2" w:rsidRPr="0057185E">
        <w:rPr>
          <w:rFonts w:ascii="Times New Roman" w:hAnsi="Times New Roman" w:cs="Times New Roman"/>
          <w:sz w:val="24"/>
          <w:szCs w:val="24"/>
        </w:rPr>
        <w:t>4</w:t>
      </w:r>
      <w:r w:rsidR="00DF021E" w:rsidRPr="0057185E">
        <w:rPr>
          <w:rFonts w:ascii="Times New Roman" w:hAnsi="Times New Roman" w:cs="Times New Roman"/>
          <w:sz w:val="24"/>
          <w:szCs w:val="24"/>
        </w:rPr>
        <w:t>).</w:t>
      </w:r>
      <w:r w:rsidR="00B824FA">
        <w:rPr>
          <w:rFonts w:ascii="Times New Roman" w:hAnsi="Times New Roman" w:cs="Times New Roman"/>
          <w:sz w:val="24"/>
          <w:szCs w:val="24"/>
        </w:rPr>
        <w:t xml:space="preserve"> </w:t>
      </w:r>
      <w:r w:rsidR="004A4036" w:rsidRPr="0057185E">
        <w:rPr>
          <w:rFonts w:ascii="Times New Roman" w:hAnsi="Times New Roman" w:cs="Times New Roman"/>
          <w:sz w:val="24"/>
          <w:szCs w:val="24"/>
        </w:rPr>
        <w:t>Номенклатура отходов производства составляет 578 наименований. Наибольшими объемами образования выделяются отходы растительного и животного происхождения – 262,572 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="004A4036" w:rsidRPr="0057185E">
        <w:rPr>
          <w:rFonts w:ascii="Times New Roman" w:hAnsi="Times New Roman" w:cs="Times New Roman"/>
          <w:sz w:val="24"/>
          <w:szCs w:val="24"/>
        </w:rPr>
        <w:t>т (47,6%), отходы минерального происхождения –171,542 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="004A4036" w:rsidRPr="0057185E">
        <w:rPr>
          <w:rFonts w:ascii="Times New Roman" w:hAnsi="Times New Roman" w:cs="Times New Roman"/>
          <w:sz w:val="24"/>
          <w:szCs w:val="24"/>
        </w:rPr>
        <w:t>т (31,1% от общего объема образования отходов в Витебской области), отходы жизнедеятельности населения и подобные им отходы производства 64,842 тыс.</w:t>
      </w:r>
      <w:r w:rsidR="00D03D4E" w:rsidRPr="0057185E">
        <w:rPr>
          <w:rFonts w:ascii="Times New Roman" w:hAnsi="Times New Roman" w:cs="Times New Roman"/>
          <w:sz w:val="24"/>
          <w:szCs w:val="24"/>
        </w:rPr>
        <w:t> </w:t>
      </w:r>
      <w:r w:rsidR="004A4036" w:rsidRPr="0057185E">
        <w:rPr>
          <w:rFonts w:ascii="Times New Roman" w:hAnsi="Times New Roman" w:cs="Times New Roman"/>
          <w:sz w:val="24"/>
          <w:szCs w:val="24"/>
        </w:rPr>
        <w:t>т (11,8%). На долю отходов (осадков) водоподготовки котельно</w:t>
      </w:r>
      <w:r w:rsidR="008F1068" w:rsidRPr="0057185E">
        <w:rPr>
          <w:rFonts w:ascii="Times New Roman" w:hAnsi="Times New Roman" w:cs="Times New Roman"/>
          <w:sz w:val="24"/>
          <w:szCs w:val="24"/>
        </w:rPr>
        <w:t>–</w:t>
      </w:r>
      <w:r w:rsidR="004A4036" w:rsidRPr="0057185E">
        <w:rPr>
          <w:rFonts w:ascii="Times New Roman" w:hAnsi="Times New Roman" w:cs="Times New Roman"/>
          <w:sz w:val="24"/>
          <w:szCs w:val="24"/>
        </w:rPr>
        <w:t>теплового хозяйства и питьевой воды, очистки сточных, дождевых вод и использования воды на электростанциях приходится 38,015 тыс.</w:t>
      </w:r>
      <w:r w:rsidR="00872F3C" w:rsidRPr="0057185E">
        <w:rPr>
          <w:rFonts w:ascii="Times New Roman" w:hAnsi="Times New Roman" w:cs="Times New Roman"/>
          <w:sz w:val="24"/>
          <w:szCs w:val="24"/>
        </w:rPr>
        <w:t> </w:t>
      </w:r>
      <w:r w:rsidR="004A4036" w:rsidRPr="0057185E">
        <w:rPr>
          <w:rFonts w:ascii="Times New Roman" w:hAnsi="Times New Roman" w:cs="Times New Roman"/>
          <w:sz w:val="24"/>
          <w:szCs w:val="24"/>
        </w:rPr>
        <w:t>т (6,9%); а отходов химических производств и производств, связанных с ними, и медицинских отходов, представляющих наибольшую экологическую опасность – 14,1</w:t>
      </w:r>
      <w:r w:rsidR="00872F3C" w:rsidRPr="0057185E">
        <w:rPr>
          <w:rFonts w:ascii="Times New Roman" w:hAnsi="Times New Roman" w:cs="Times New Roman"/>
          <w:sz w:val="24"/>
          <w:szCs w:val="24"/>
        </w:rPr>
        <w:t>28</w:t>
      </w:r>
      <w:r w:rsidR="00041822" w:rsidRPr="0057185E">
        <w:rPr>
          <w:rFonts w:ascii="Times New Roman" w:hAnsi="Times New Roman" w:cs="Times New Roman"/>
          <w:sz w:val="24"/>
          <w:szCs w:val="24"/>
        </w:rPr>
        <w:t xml:space="preserve"> </w:t>
      </w:r>
      <w:r w:rsidR="00872F3C" w:rsidRPr="0057185E">
        <w:rPr>
          <w:rFonts w:ascii="Times New Roman" w:hAnsi="Times New Roman" w:cs="Times New Roman"/>
          <w:sz w:val="24"/>
          <w:szCs w:val="24"/>
        </w:rPr>
        <w:t>тыс.</w:t>
      </w:r>
      <w:r w:rsidR="00041822" w:rsidRPr="0057185E">
        <w:rPr>
          <w:rFonts w:ascii="Times New Roman" w:hAnsi="Times New Roman" w:cs="Times New Roman"/>
          <w:sz w:val="24"/>
          <w:szCs w:val="24"/>
        </w:rPr>
        <w:t> </w:t>
      </w:r>
      <w:r w:rsidR="00872F3C" w:rsidRPr="0057185E">
        <w:rPr>
          <w:rFonts w:ascii="Times New Roman" w:hAnsi="Times New Roman" w:cs="Times New Roman"/>
          <w:sz w:val="24"/>
          <w:szCs w:val="24"/>
        </w:rPr>
        <w:t>т. (2,6 </w:t>
      </w:r>
      <w:r w:rsidR="004A4036" w:rsidRPr="0057185E">
        <w:rPr>
          <w:rFonts w:ascii="Times New Roman" w:hAnsi="Times New Roman" w:cs="Times New Roman"/>
          <w:sz w:val="24"/>
          <w:szCs w:val="24"/>
        </w:rPr>
        <w:t>%).</w:t>
      </w:r>
    </w:p>
    <w:p w:rsidR="0057185E" w:rsidRPr="0057185E" w:rsidRDefault="0057185E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5E">
        <w:rPr>
          <w:rFonts w:ascii="Times New Roman" w:hAnsi="Times New Roman" w:cs="Times New Roman"/>
          <w:sz w:val="24"/>
          <w:szCs w:val="24"/>
        </w:rPr>
        <w:t xml:space="preserve">Свыше 85,8% отходов производства образуется на предприятиях Витебского (124,1  тыс. т), Оршанского (67,08 тыс. т), Полоцкого (70,48 тыс. т), </w:t>
      </w:r>
      <w:proofErr w:type="spellStart"/>
      <w:r w:rsidRPr="0057185E">
        <w:rPr>
          <w:rFonts w:ascii="Times New Roman" w:hAnsi="Times New Roman" w:cs="Times New Roman"/>
          <w:sz w:val="24"/>
          <w:szCs w:val="24"/>
        </w:rPr>
        <w:t>Сенненского</w:t>
      </w:r>
      <w:proofErr w:type="spellEnd"/>
      <w:r w:rsidRPr="0057185E">
        <w:rPr>
          <w:rFonts w:ascii="Times New Roman" w:hAnsi="Times New Roman" w:cs="Times New Roman"/>
          <w:sz w:val="24"/>
          <w:szCs w:val="24"/>
        </w:rPr>
        <w:t xml:space="preserve"> (57,98 тыс. т) </w:t>
      </w:r>
      <w:proofErr w:type="spellStart"/>
      <w:r w:rsidRPr="0057185E">
        <w:rPr>
          <w:rFonts w:ascii="Times New Roman" w:hAnsi="Times New Roman" w:cs="Times New Roman"/>
          <w:sz w:val="24"/>
          <w:szCs w:val="24"/>
        </w:rPr>
        <w:t>Поставского</w:t>
      </w:r>
      <w:proofErr w:type="spellEnd"/>
      <w:r w:rsidRPr="0057185E">
        <w:rPr>
          <w:rFonts w:ascii="Times New Roman" w:hAnsi="Times New Roman" w:cs="Times New Roman"/>
          <w:sz w:val="24"/>
          <w:szCs w:val="24"/>
        </w:rPr>
        <w:t xml:space="preserve">(43,17 тыс. т), </w:t>
      </w:r>
      <w:proofErr w:type="spellStart"/>
      <w:r w:rsidRPr="0057185E">
        <w:rPr>
          <w:rFonts w:ascii="Times New Roman" w:hAnsi="Times New Roman" w:cs="Times New Roman"/>
          <w:sz w:val="24"/>
          <w:szCs w:val="24"/>
        </w:rPr>
        <w:t>Толочинского</w:t>
      </w:r>
      <w:proofErr w:type="spellEnd"/>
      <w:r w:rsidRPr="0057185E">
        <w:rPr>
          <w:rFonts w:ascii="Times New Roman" w:hAnsi="Times New Roman" w:cs="Times New Roman"/>
          <w:sz w:val="24"/>
          <w:szCs w:val="24"/>
        </w:rPr>
        <w:t xml:space="preserve"> (51,64 тыс. т), </w:t>
      </w:r>
      <w:proofErr w:type="spellStart"/>
      <w:r w:rsidRPr="0057185E">
        <w:rPr>
          <w:rFonts w:ascii="Times New Roman" w:hAnsi="Times New Roman" w:cs="Times New Roman"/>
          <w:sz w:val="24"/>
          <w:szCs w:val="24"/>
        </w:rPr>
        <w:t>Чашникского</w:t>
      </w:r>
      <w:proofErr w:type="spellEnd"/>
      <w:r w:rsidRPr="0057185E">
        <w:rPr>
          <w:rFonts w:ascii="Times New Roman" w:hAnsi="Times New Roman" w:cs="Times New Roman"/>
          <w:sz w:val="24"/>
          <w:szCs w:val="24"/>
        </w:rPr>
        <w:t xml:space="preserve">(58,77 тыс. т) районов. </w:t>
      </w:r>
    </w:p>
    <w:p w:rsidR="0057185E" w:rsidRPr="0057185E" w:rsidRDefault="0057185E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85E">
        <w:rPr>
          <w:rFonts w:ascii="Times New Roman" w:hAnsi="Times New Roman" w:cs="Times New Roman"/>
          <w:sz w:val="24"/>
          <w:szCs w:val="24"/>
        </w:rPr>
        <w:t>Уменьшение объемов образования и использования отходов относительно 2014 года связано со снижением объема образования отходов обработки и переработки древесины, отходов производства вкусовых продуктов, прочих твердых минеральных отходов.</w:t>
      </w:r>
    </w:p>
    <w:p w:rsidR="004A4036" w:rsidRPr="00BD44F7" w:rsidRDefault="0077780D" w:rsidP="00777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B90237F" wp14:editId="33AE6EB8">
            <wp:extent cx="5514975" cy="35433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72F59" w:rsidRDefault="004A55D3" w:rsidP="00EE406F">
      <w:pPr>
        <w:pStyle w:val="a5"/>
      </w:pPr>
      <w:r w:rsidRPr="00CF0CA6">
        <w:t>Рис</w:t>
      </w:r>
      <w:r w:rsidR="00CF0CA6" w:rsidRPr="00CF0CA6">
        <w:t>.</w:t>
      </w:r>
      <w:r w:rsidR="00DF021E" w:rsidRPr="00CF0CA6">
        <w:t>1</w:t>
      </w:r>
      <w:r w:rsidR="00B824FA">
        <w:t>1</w:t>
      </w:r>
      <w:r w:rsidR="00DF021E" w:rsidRPr="00CF0CA6">
        <w:t>.</w:t>
      </w:r>
      <w:r w:rsidR="004A4036">
        <w:t>4</w:t>
      </w:r>
      <w:r w:rsidR="00EE406F" w:rsidRPr="00EE406F">
        <w:t xml:space="preserve">. </w:t>
      </w:r>
      <w:r w:rsidRPr="00BD44F7">
        <w:t>Динамика образования и использовани</w:t>
      </w:r>
      <w:r w:rsidR="00075EA0">
        <w:t xml:space="preserve">я отходов производства </w:t>
      </w:r>
    </w:p>
    <w:p w:rsidR="004A55D3" w:rsidRDefault="00075EA0" w:rsidP="00EE406F">
      <w:pPr>
        <w:pStyle w:val="a5"/>
      </w:pPr>
      <w:r>
        <w:t xml:space="preserve">в </w:t>
      </w:r>
      <w:r w:rsidR="004A55D3" w:rsidRPr="00BD44F7">
        <w:t>Витебской области за 2005–2015 гг.</w:t>
      </w:r>
    </w:p>
    <w:p w:rsidR="00BD44F7" w:rsidRPr="00BD44F7" w:rsidRDefault="00BD44F7" w:rsidP="00EE406F">
      <w:pPr>
        <w:pStyle w:val="a5"/>
      </w:pPr>
    </w:p>
    <w:p w:rsidR="00D52D6F" w:rsidRPr="0057185E" w:rsidRDefault="00D52D6F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62258826"/>
      <w:bookmarkStart w:id="3" w:name="_Toc435697429"/>
      <w:bookmarkEnd w:id="0"/>
      <w:bookmarkEnd w:id="1"/>
      <w:r w:rsidRPr="0057185E">
        <w:rPr>
          <w:rFonts w:ascii="Times New Roman" w:hAnsi="Times New Roman" w:cs="Times New Roman"/>
          <w:sz w:val="24"/>
          <w:szCs w:val="24"/>
        </w:rPr>
        <w:t>На предприятиях Гомельской области в 2015 г. образовалось 3097,4 тыс. т. отходов (рис. 1</w:t>
      </w:r>
      <w:r w:rsidRPr="001C76A6">
        <w:rPr>
          <w:rFonts w:ascii="Times New Roman" w:hAnsi="Times New Roman" w:cs="Times New Roman"/>
          <w:sz w:val="24"/>
          <w:szCs w:val="24"/>
        </w:rPr>
        <w:t>1</w:t>
      </w:r>
      <w:r w:rsidRPr="0057185E">
        <w:rPr>
          <w:rFonts w:ascii="Times New Roman" w:hAnsi="Times New Roman" w:cs="Times New Roman"/>
          <w:sz w:val="24"/>
          <w:szCs w:val="24"/>
        </w:rPr>
        <w:t xml:space="preserve">.5).  </w:t>
      </w:r>
    </w:p>
    <w:p w:rsidR="00BD44F7" w:rsidRPr="001C76A6" w:rsidRDefault="004A55D3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6A6">
        <w:rPr>
          <w:rFonts w:ascii="Times New Roman" w:hAnsi="Times New Roman" w:cs="Times New Roman"/>
          <w:sz w:val="24"/>
          <w:szCs w:val="24"/>
        </w:rPr>
        <w:t>Наибольшие объемы образования характерны для отходов минерального происхождения 2195,8 тыс. т или 70,9% от общего объема образования отходов Гомельской области) и отходов растительного и животного происхождения (633,7 тыс. т или 20,5%).</w:t>
      </w:r>
      <w:proofErr w:type="gramEnd"/>
      <w:r w:rsidRPr="001C76A6">
        <w:rPr>
          <w:rFonts w:ascii="Times New Roman" w:hAnsi="Times New Roman" w:cs="Times New Roman"/>
          <w:sz w:val="24"/>
          <w:szCs w:val="24"/>
        </w:rPr>
        <w:t xml:space="preserve"> Доля отходов (осадков) водоподготовки котельно</w:t>
      </w:r>
      <w:r w:rsidR="008F1068" w:rsidRPr="001C76A6">
        <w:rPr>
          <w:rFonts w:ascii="Times New Roman" w:hAnsi="Times New Roman" w:cs="Times New Roman"/>
          <w:sz w:val="24"/>
          <w:szCs w:val="24"/>
        </w:rPr>
        <w:t>–</w:t>
      </w:r>
      <w:r w:rsidRPr="001C76A6">
        <w:rPr>
          <w:rFonts w:ascii="Times New Roman" w:hAnsi="Times New Roman" w:cs="Times New Roman"/>
          <w:sz w:val="24"/>
          <w:szCs w:val="24"/>
        </w:rPr>
        <w:t xml:space="preserve">теплового хозяйства, очистки сточных, дождевых вод и использования воды на электростанциях составляет 3,1% (95,7 тыс. т), а отходов жизнедеятельности населения и подобных им отходов производства – 2,7% (85,1 тыс. т). Объем образования медицинских отходов и отходов химических производств, представляющих наибольшую экологическую опасность –87,1 тыс. т (2,8%). </w:t>
      </w:r>
    </w:p>
    <w:p w:rsidR="004A55D3" w:rsidRPr="001C76A6" w:rsidRDefault="004A55D3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A6">
        <w:rPr>
          <w:rFonts w:ascii="Times New Roman" w:hAnsi="Times New Roman" w:cs="Times New Roman"/>
          <w:sz w:val="24"/>
          <w:szCs w:val="24"/>
        </w:rPr>
        <w:t xml:space="preserve">Свыше 77,9 % отходов производства образуется на предприятиях </w:t>
      </w:r>
      <w:proofErr w:type="spellStart"/>
      <w:r w:rsidRPr="001C76A6">
        <w:rPr>
          <w:rFonts w:ascii="Times New Roman" w:hAnsi="Times New Roman" w:cs="Times New Roman"/>
          <w:sz w:val="24"/>
          <w:szCs w:val="24"/>
        </w:rPr>
        <w:t>Жлобинского</w:t>
      </w:r>
      <w:proofErr w:type="spellEnd"/>
      <w:r w:rsidRPr="001C76A6">
        <w:rPr>
          <w:rFonts w:ascii="Times New Roman" w:hAnsi="Times New Roman" w:cs="Times New Roman"/>
          <w:sz w:val="24"/>
          <w:szCs w:val="24"/>
        </w:rPr>
        <w:t xml:space="preserve"> (1385,1 тыс. т)</w:t>
      </w:r>
      <w:r w:rsidR="002D1201" w:rsidRPr="001C76A6">
        <w:rPr>
          <w:rFonts w:ascii="Times New Roman" w:hAnsi="Times New Roman" w:cs="Times New Roman"/>
          <w:sz w:val="24"/>
          <w:szCs w:val="24"/>
        </w:rPr>
        <w:t xml:space="preserve"> и Гомельского (1028,7 тыс. т) </w:t>
      </w:r>
      <w:r w:rsidR="007867AD" w:rsidRPr="001C76A6">
        <w:rPr>
          <w:rFonts w:ascii="Times New Roman" w:hAnsi="Times New Roman" w:cs="Times New Roman"/>
          <w:sz w:val="24"/>
          <w:szCs w:val="24"/>
        </w:rPr>
        <w:t>районов</w:t>
      </w:r>
      <w:r w:rsidR="005921E8" w:rsidRPr="001C76A6">
        <w:rPr>
          <w:rFonts w:ascii="Times New Roman" w:hAnsi="Times New Roman" w:cs="Times New Roman"/>
          <w:sz w:val="24"/>
          <w:szCs w:val="24"/>
        </w:rPr>
        <w:t>.</w:t>
      </w:r>
    </w:p>
    <w:p w:rsidR="001C76A6" w:rsidRPr="001C76A6" w:rsidRDefault="001C76A6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A6">
        <w:rPr>
          <w:rFonts w:ascii="Times New Roman" w:hAnsi="Times New Roman" w:cs="Times New Roman"/>
          <w:sz w:val="24"/>
          <w:szCs w:val="24"/>
        </w:rPr>
        <w:t xml:space="preserve">На предприятиях Гродненской области образовалось 1786 тыс. т отходов (рисунок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C76A6">
        <w:rPr>
          <w:rFonts w:ascii="Times New Roman" w:hAnsi="Times New Roman" w:cs="Times New Roman"/>
          <w:sz w:val="24"/>
          <w:szCs w:val="24"/>
        </w:rPr>
        <w:t xml:space="preserve">1.6). Номенклатура отходов производства составляет 729 наименований. </w:t>
      </w:r>
      <w:proofErr w:type="gramStart"/>
      <w:r w:rsidRPr="001C76A6">
        <w:rPr>
          <w:rFonts w:ascii="Times New Roman" w:hAnsi="Times New Roman" w:cs="Times New Roman"/>
          <w:sz w:val="24"/>
          <w:szCs w:val="24"/>
        </w:rPr>
        <w:t>Наибольшими объемами образования выделяются отходы минерального происхождения – 595,6 тыс. т (33,3% от общего объема образования отходов в Гродненской области); отходы растительного и животного происхождения – 466,9 тыс. т (26,14%) отходы химических производств и производств, связанных с ними – 179,32 (10%) и медицинские отходы – 1,8 тыс. т (0,1%) отходы жизнедеятельности населения и подобные им отходы производства 88,0 тыс. т. (4,9%).</w:t>
      </w:r>
      <w:proofErr w:type="gramEnd"/>
      <w:r w:rsidRPr="001C76A6">
        <w:rPr>
          <w:rFonts w:ascii="Times New Roman" w:hAnsi="Times New Roman" w:cs="Times New Roman"/>
          <w:sz w:val="24"/>
          <w:szCs w:val="24"/>
        </w:rPr>
        <w:t xml:space="preserve"> На долю отходов (осадков) водоподготовки котельно–теплового хозяйства и питьевой воды, очистки сточных, дождевых вод и использования воды на электростанциях приходится 454,2 тыс. т (30,5%).</w:t>
      </w:r>
    </w:p>
    <w:p w:rsidR="001C76A6" w:rsidRPr="001C76A6" w:rsidRDefault="001C76A6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A6">
        <w:rPr>
          <w:rFonts w:ascii="Times New Roman" w:hAnsi="Times New Roman" w:cs="Times New Roman"/>
          <w:sz w:val="24"/>
          <w:szCs w:val="24"/>
        </w:rPr>
        <w:t xml:space="preserve">В 2015 году произошло уменьшение объемов образования и использования отходов растительного и животного происхождения (производство вкусовых продуктов), прочих твердых минеральных отходов, осадков водоподготовки. </w:t>
      </w:r>
    </w:p>
    <w:p w:rsidR="007867AD" w:rsidRDefault="007867AD" w:rsidP="00592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67AD" w:rsidRDefault="007867AD" w:rsidP="00F56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DA496F" wp14:editId="623FF0D4">
            <wp:extent cx="5524500" cy="33528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72F59" w:rsidRDefault="007867AD" w:rsidP="00EE406F">
      <w:pPr>
        <w:pStyle w:val="a5"/>
      </w:pPr>
      <w:r w:rsidRPr="00C47E05">
        <w:t>Рис.1</w:t>
      </w:r>
      <w:r w:rsidR="001C76A6" w:rsidRPr="001C76A6">
        <w:t>1</w:t>
      </w:r>
      <w:r w:rsidRPr="00C47E05">
        <w:t>.5</w:t>
      </w:r>
      <w:r w:rsidR="00EE406F" w:rsidRPr="00EE406F">
        <w:t>.</w:t>
      </w:r>
      <w:r w:rsidRPr="00C47E05">
        <w:t xml:space="preserve"> Динамика образования и использования отходов производства </w:t>
      </w:r>
    </w:p>
    <w:p w:rsidR="007867AD" w:rsidRPr="00C47E05" w:rsidRDefault="007867AD" w:rsidP="00EE406F">
      <w:pPr>
        <w:pStyle w:val="a5"/>
      </w:pPr>
      <w:r w:rsidRPr="00C47E05">
        <w:t>в Гомельской области за 2005–2015 гг.</w:t>
      </w:r>
    </w:p>
    <w:p w:rsidR="007867AD" w:rsidRPr="001C76A6" w:rsidRDefault="001C76A6" w:rsidP="00EE406F">
      <w:pPr>
        <w:pStyle w:val="a5"/>
      </w:pPr>
      <w:r w:rsidRPr="001C76A6">
        <w:t>(</w:t>
      </w:r>
      <w:r w:rsidR="00C47E05" w:rsidRPr="006D35C3">
        <w:rPr>
          <w:i/>
        </w:rPr>
        <w:t>превышение использования отходов относительно их образования связано с частичным использованием и удалением ранее накопленных отходов</w:t>
      </w:r>
      <w:r w:rsidRPr="001C76A6">
        <w:t>)</w:t>
      </w:r>
    </w:p>
    <w:p w:rsidR="00C47E05" w:rsidRPr="00C47E05" w:rsidRDefault="00C47E05" w:rsidP="00EE406F">
      <w:pPr>
        <w:pStyle w:val="a5"/>
      </w:pPr>
    </w:p>
    <w:p w:rsidR="001C76A6" w:rsidRPr="001C76A6" w:rsidRDefault="001C76A6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A6">
        <w:rPr>
          <w:rFonts w:ascii="Times New Roman" w:hAnsi="Times New Roman" w:cs="Times New Roman"/>
          <w:sz w:val="24"/>
          <w:szCs w:val="24"/>
        </w:rPr>
        <w:t>В территориальном разрезе произошло уменьшение образования отходов в Гродненском, Лидском, Волковысском, Слонимском районах.</w:t>
      </w:r>
    </w:p>
    <w:p w:rsidR="004E6A9F" w:rsidRPr="001C76A6" w:rsidRDefault="004E6A9F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A6">
        <w:rPr>
          <w:rFonts w:ascii="Times New Roman" w:hAnsi="Times New Roman" w:cs="Times New Roman"/>
          <w:sz w:val="24"/>
          <w:szCs w:val="24"/>
        </w:rPr>
        <w:t xml:space="preserve">Около 95,3 % отходов производства образуется на предприятиях Гродненского (921,66 тыс. т), </w:t>
      </w:r>
      <w:proofErr w:type="spellStart"/>
      <w:r w:rsidRPr="001C76A6">
        <w:rPr>
          <w:rFonts w:ascii="Times New Roman" w:hAnsi="Times New Roman" w:cs="Times New Roman"/>
          <w:sz w:val="24"/>
          <w:szCs w:val="24"/>
        </w:rPr>
        <w:t>Сморгонского</w:t>
      </w:r>
      <w:proofErr w:type="spellEnd"/>
      <w:r w:rsidRPr="001C76A6">
        <w:rPr>
          <w:rFonts w:ascii="Times New Roman" w:hAnsi="Times New Roman" w:cs="Times New Roman"/>
          <w:sz w:val="24"/>
          <w:szCs w:val="24"/>
        </w:rPr>
        <w:t xml:space="preserve"> (247,29 тыс. т), Волковысского (275,83 тыс.</w:t>
      </w:r>
      <w:r w:rsidR="00041822" w:rsidRPr="001C76A6">
        <w:rPr>
          <w:rFonts w:ascii="Times New Roman" w:hAnsi="Times New Roman" w:cs="Times New Roman"/>
          <w:sz w:val="24"/>
          <w:szCs w:val="24"/>
        </w:rPr>
        <w:t> </w:t>
      </w:r>
      <w:r w:rsidRPr="001C76A6">
        <w:rPr>
          <w:rFonts w:ascii="Times New Roman" w:hAnsi="Times New Roman" w:cs="Times New Roman"/>
          <w:sz w:val="24"/>
          <w:szCs w:val="24"/>
        </w:rPr>
        <w:t>т), Слонимского (184,5 тыс. т) районов.</w:t>
      </w:r>
    </w:p>
    <w:p w:rsidR="004A55D3" w:rsidRPr="00EA64A3" w:rsidRDefault="004E6A9F" w:rsidP="00F56232">
      <w:pPr>
        <w:ind w:right="-2"/>
        <w:jc w:val="center"/>
        <w:rPr>
          <w:iCs/>
          <w:sz w:val="28"/>
        </w:rPr>
      </w:pPr>
      <w:r>
        <w:rPr>
          <w:noProof/>
          <w:lang w:eastAsia="ru-RU"/>
        </w:rPr>
        <w:drawing>
          <wp:inline distT="0" distB="0" distL="0" distR="0" wp14:anchorId="4A06D61F" wp14:editId="03514CB1">
            <wp:extent cx="5153025" cy="31623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2F59" w:rsidRDefault="004A55D3" w:rsidP="00EE406F">
      <w:pPr>
        <w:pStyle w:val="a5"/>
      </w:pPr>
      <w:r w:rsidRPr="00CF0CA6">
        <w:t>Рис</w:t>
      </w:r>
      <w:r w:rsidR="00CF0CA6" w:rsidRPr="00CF0CA6">
        <w:t>.</w:t>
      </w:r>
      <w:r w:rsidR="00DF021E" w:rsidRPr="00CF0CA6">
        <w:t>1</w:t>
      </w:r>
      <w:r w:rsidR="001C76A6" w:rsidRPr="001C76A6">
        <w:t>1</w:t>
      </w:r>
      <w:r w:rsidR="00DF021E" w:rsidRPr="00CF0CA6">
        <w:t>.</w:t>
      </w:r>
      <w:r w:rsidR="004E6A9F">
        <w:t>6</w:t>
      </w:r>
      <w:r w:rsidR="00EE406F" w:rsidRPr="00EE406F">
        <w:t>.</w:t>
      </w:r>
      <w:r w:rsidRPr="005921E8">
        <w:t xml:space="preserve"> Динамика образования и использования отходов производства </w:t>
      </w:r>
    </w:p>
    <w:p w:rsidR="004A55D3" w:rsidRDefault="004A55D3" w:rsidP="00EE406F">
      <w:pPr>
        <w:pStyle w:val="a5"/>
      </w:pPr>
      <w:r w:rsidRPr="005921E8">
        <w:t xml:space="preserve">в Гродненской области за 2005–2015 гг. </w:t>
      </w:r>
    </w:p>
    <w:p w:rsidR="005921E8" w:rsidRPr="005921E8" w:rsidRDefault="005921E8" w:rsidP="00EE406F">
      <w:pPr>
        <w:pStyle w:val="a5"/>
      </w:pPr>
    </w:p>
    <w:bookmarkEnd w:id="2"/>
    <w:bookmarkEnd w:id="3"/>
    <w:p w:rsidR="004A55D3" w:rsidRPr="001C76A6" w:rsidRDefault="000E34A1" w:rsidP="000C0EB4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A6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4A55D3" w:rsidRPr="001C76A6">
        <w:rPr>
          <w:rFonts w:ascii="Times New Roman" w:hAnsi="Times New Roman" w:cs="Times New Roman"/>
          <w:sz w:val="24"/>
          <w:szCs w:val="24"/>
        </w:rPr>
        <w:t>а предприятиях г. Минска образовалось 1980 тыс. т отходов</w:t>
      </w:r>
      <w:r w:rsidRPr="001C76A6">
        <w:rPr>
          <w:rFonts w:ascii="Times New Roman" w:hAnsi="Times New Roman" w:cs="Times New Roman"/>
          <w:sz w:val="24"/>
          <w:szCs w:val="24"/>
        </w:rPr>
        <w:t xml:space="preserve"> (рис.</w:t>
      </w:r>
      <w:r w:rsidR="00DF021E" w:rsidRPr="001C76A6">
        <w:rPr>
          <w:rFonts w:ascii="Times New Roman" w:hAnsi="Times New Roman" w:cs="Times New Roman"/>
          <w:sz w:val="24"/>
          <w:szCs w:val="24"/>
        </w:rPr>
        <w:t>1</w:t>
      </w:r>
      <w:r w:rsidR="001C76A6" w:rsidRPr="001C76A6">
        <w:rPr>
          <w:rFonts w:ascii="Times New Roman" w:hAnsi="Times New Roman" w:cs="Times New Roman"/>
          <w:sz w:val="24"/>
          <w:szCs w:val="24"/>
        </w:rPr>
        <w:t>1</w:t>
      </w:r>
      <w:r w:rsidR="00DF021E" w:rsidRPr="001C76A6">
        <w:rPr>
          <w:rFonts w:ascii="Times New Roman" w:hAnsi="Times New Roman" w:cs="Times New Roman"/>
          <w:sz w:val="24"/>
          <w:szCs w:val="24"/>
        </w:rPr>
        <w:t>.</w:t>
      </w:r>
      <w:r w:rsidR="004E6A9F" w:rsidRPr="001C76A6">
        <w:rPr>
          <w:rFonts w:ascii="Times New Roman" w:hAnsi="Times New Roman" w:cs="Times New Roman"/>
          <w:sz w:val="24"/>
          <w:szCs w:val="24"/>
        </w:rPr>
        <w:t>7</w:t>
      </w:r>
      <w:r w:rsidR="00DF021E" w:rsidRPr="001C76A6">
        <w:rPr>
          <w:rFonts w:ascii="Times New Roman" w:hAnsi="Times New Roman" w:cs="Times New Roman"/>
          <w:sz w:val="24"/>
          <w:szCs w:val="24"/>
        </w:rPr>
        <w:t>).</w:t>
      </w:r>
    </w:p>
    <w:p w:rsidR="00C71EBA" w:rsidRPr="001C76A6" w:rsidRDefault="00C71EBA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A6">
        <w:rPr>
          <w:rFonts w:ascii="Times New Roman" w:hAnsi="Times New Roman" w:cs="Times New Roman"/>
          <w:sz w:val="24"/>
          <w:szCs w:val="24"/>
        </w:rPr>
        <w:t xml:space="preserve">Номенклатура отходов производства составляет 805 наименований. </w:t>
      </w:r>
      <w:proofErr w:type="gramStart"/>
      <w:r w:rsidRPr="001C76A6">
        <w:rPr>
          <w:rFonts w:ascii="Times New Roman" w:hAnsi="Times New Roman" w:cs="Times New Roman"/>
          <w:sz w:val="24"/>
          <w:szCs w:val="24"/>
        </w:rPr>
        <w:t>Наибольшими объемами образования выделяются отходы минерального происхождения 1168,0 тыс.</w:t>
      </w:r>
      <w:r w:rsidR="008922E4" w:rsidRPr="001C76A6">
        <w:rPr>
          <w:rFonts w:ascii="Times New Roman" w:hAnsi="Times New Roman" w:cs="Times New Roman"/>
          <w:sz w:val="24"/>
          <w:szCs w:val="24"/>
        </w:rPr>
        <w:t> </w:t>
      </w:r>
      <w:r w:rsidRPr="001C76A6">
        <w:rPr>
          <w:rFonts w:ascii="Times New Roman" w:hAnsi="Times New Roman" w:cs="Times New Roman"/>
          <w:sz w:val="24"/>
          <w:szCs w:val="24"/>
        </w:rPr>
        <w:t>т или 59% от общего объема образования отходов);</w:t>
      </w:r>
      <w:proofErr w:type="gramEnd"/>
      <w:r w:rsidRPr="001C76A6">
        <w:rPr>
          <w:rFonts w:ascii="Times New Roman" w:hAnsi="Times New Roman" w:cs="Times New Roman"/>
          <w:sz w:val="24"/>
          <w:szCs w:val="24"/>
        </w:rPr>
        <w:t xml:space="preserve"> отходы растительного и животного происхождения (318,8 тыс.</w:t>
      </w:r>
      <w:r w:rsidR="00041822" w:rsidRPr="001C76A6">
        <w:rPr>
          <w:rFonts w:ascii="Times New Roman" w:hAnsi="Times New Roman" w:cs="Times New Roman"/>
          <w:sz w:val="24"/>
          <w:szCs w:val="24"/>
        </w:rPr>
        <w:t> </w:t>
      </w:r>
      <w:r w:rsidRPr="001C76A6">
        <w:rPr>
          <w:rFonts w:ascii="Times New Roman" w:hAnsi="Times New Roman" w:cs="Times New Roman"/>
          <w:sz w:val="24"/>
          <w:szCs w:val="24"/>
        </w:rPr>
        <w:t>т или 16,1%), отходы жизнедеятельности населения и подобные им отходы производства (208,5 тыс.</w:t>
      </w:r>
      <w:r w:rsidR="00041822" w:rsidRPr="001C76A6">
        <w:rPr>
          <w:rFonts w:ascii="Times New Roman" w:hAnsi="Times New Roman" w:cs="Times New Roman"/>
          <w:sz w:val="24"/>
          <w:szCs w:val="24"/>
        </w:rPr>
        <w:t> </w:t>
      </w:r>
      <w:r w:rsidRPr="001C76A6">
        <w:rPr>
          <w:rFonts w:ascii="Times New Roman" w:hAnsi="Times New Roman" w:cs="Times New Roman"/>
          <w:sz w:val="24"/>
          <w:szCs w:val="24"/>
        </w:rPr>
        <w:t>т или 10,5%), отходов (осадков) водоподготовки котельно</w:t>
      </w:r>
      <w:r w:rsidR="008F1068" w:rsidRPr="001C76A6">
        <w:rPr>
          <w:rFonts w:ascii="Times New Roman" w:hAnsi="Times New Roman" w:cs="Times New Roman"/>
          <w:sz w:val="24"/>
          <w:szCs w:val="24"/>
        </w:rPr>
        <w:t>–</w:t>
      </w:r>
      <w:r w:rsidRPr="001C76A6">
        <w:rPr>
          <w:rFonts w:ascii="Times New Roman" w:hAnsi="Times New Roman" w:cs="Times New Roman"/>
          <w:sz w:val="24"/>
          <w:szCs w:val="24"/>
        </w:rPr>
        <w:t>теплового хозяйства и питьевой воды, очистки сточных, дождевых вод и использования воды на электростанциях (237,0 тыс.</w:t>
      </w:r>
      <w:r w:rsidR="00041822" w:rsidRPr="001C76A6">
        <w:rPr>
          <w:rFonts w:ascii="Times New Roman" w:hAnsi="Times New Roman" w:cs="Times New Roman"/>
          <w:sz w:val="24"/>
          <w:szCs w:val="24"/>
        </w:rPr>
        <w:t> </w:t>
      </w:r>
      <w:r w:rsidRPr="001C76A6">
        <w:rPr>
          <w:rFonts w:ascii="Times New Roman" w:hAnsi="Times New Roman" w:cs="Times New Roman"/>
          <w:sz w:val="24"/>
          <w:szCs w:val="24"/>
        </w:rPr>
        <w:t>т или 12%). На долю отходов химических производств и производств, связанных с ними, и медицинских отходов, представляющих наибольшую экол</w:t>
      </w:r>
      <w:r w:rsidR="008922E4" w:rsidRPr="001C76A6">
        <w:rPr>
          <w:rFonts w:ascii="Times New Roman" w:hAnsi="Times New Roman" w:cs="Times New Roman"/>
          <w:sz w:val="24"/>
          <w:szCs w:val="24"/>
        </w:rPr>
        <w:t>огическую опасность, приходится</w:t>
      </w:r>
      <w:r w:rsidRPr="001C76A6">
        <w:rPr>
          <w:rFonts w:ascii="Times New Roman" w:hAnsi="Times New Roman" w:cs="Times New Roman"/>
          <w:sz w:val="24"/>
          <w:szCs w:val="24"/>
        </w:rPr>
        <w:t xml:space="preserve"> 2,4%. </w:t>
      </w:r>
    </w:p>
    <w:p w:rsidR="00DF021E" w:rsidRPr="00E45183" w:rsidRDefault="00C71EBA" w:rsidP="0072288B">
      <w:pPr>
        <w:spacing w:after="0"/>
        <w:ind w:right="-2"/>
        <w:jc w:val="center"/>
      </w:pPr>
      <w:r>
        <w:rPr>
          <w:noProof/>
          <w:lang w:eastAsia="ru-RU"/>
        </w:rPr>
        <w:drawing>
          <wp:inline distT="0" distB="0" distL="0" distR="0" wp14:anchorId="03D6FA12" wp14:editId="69442C40">
            <wp:extent cx="5238750" cy="35909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2F59" w:rsidRDefault="004A55D3" w:rsidP="00EE406F">
      <w:pPr>
        <w:pStyle w:val="a5"/>
      </w:pPr>
      <w:r w:rsidRPr="00CF0CA6">
        <w:t>Рис</w:t>
      </w:r>
      <w:r w:rsidR="00CF0CA6" w:rsidRPr="00CF0CA6">
        <w:t>.</w:t>
      </w:r>
      <w:r w:rsidR="00DF021E" w:rsidRPr="00CF0CA6">
        <w:t>1</w:t>
      </w:r>
      <w:r w:rsidR="003E3796" w:rsidRPr="003E3796">
        <w:t>1</w:t>
      </w:r>
      <w:r w:rsidR="00DF021E" w:rsidRPr="00CF0CA6">
        <w:t>.</w:t>
      </w:r>
      <w:r w:rsidR="004E6A9F">
        <w:t>7</w:t>
      </w:r>
      <w:r w:rsidR="00EE406F" w:rsidRPr="00EE406F">
        <w:t xml:space="preserve">. </w:t>
      </w:r>
      <w:r w:rsidRPr="00E45183">
        <w:t>Динами</w:t>
      </w:r>
      <w:r w:rsidR="002D1201">
        <w:t xml:space="preserve">ка образования и использования </w:t>
      </w:r>
      <w:r w:rsidRPr="00E45183">
        <w:t xml:space="preserve">отходов производства </w:t>
      </w:r>
    </w:p>
    <w:p w:rsidR="004A55D3" w:rsidRPr="00E45183" w:rsidRDefault="004A55D3" w:rsidP="00EE406F">
      <w:pPr>
        <w:pStyle w:val="a5"/>
      </w:pPr>
      <w:r w:rsidRPr="00E45183">
        <w:t>в г. Минске за 2005–201</w:t>
      </w:r>
      <w:r>
        <w:t>5</w:t>
      </w:r>
      <w:r w:rsidRPr="00E45183">
        <w:t>гг.</w:t>
      </w:r>
    </w:p>
    <w:p w:rsidR="0020020C" w:rsidRDefault="0020020C" w:rsidP="00150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55D3" w:rsidRPr="00A06C15" w:rsidRDefault="004A55D3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96">
        <w:rPr>
          <w:rFonts w:ascii="Times New Roman" w:hAnsi="Times New Roman" w:cs="Times New Roman"/>
          <w:sz w:val="24"/>
          <w:szCs w:val="24"/>
        </w:rPr>
        <w:t>В 2015 г. на предприятиях Минской области по данным государственной статистической отчетности образовалось 36601 тыс.</w:t>
      </w:r>
      <w:r w:rsidR="00683137" w:rsidRPr="003E3796">
        <w:rPr>
          <w:sz w:val="24"/>
          <w:szCs w:val="24"/>
        </w:rPr>
        <w:t> </w:t>
      </w:r>
      <w:r w:rsidRPr="003E3796">
        <w:rPr>
          <w:rFonts w:ascii="Times New Roman" w:hAnsi="Times New Roman" w:cs="Times New Roman"/>
          <w:sz w:val="24"/>
          <w:szCs w:val="24"/>
        </w:rPr>
        <w:t>т. отходов</w:t>
      </w:r>
      <w:r w:rsidR="003D26E7">
        <w:rPr>
          <w:rFonts w:ascii="Times New Roman" w:hAnsi="Times New Roman" w:cs="Times New Roman"/>
          <w:sz w:val="24"/>
          <w:szCs w:val="24"/>
        </w:rPr>
        <w:t xml:space="preserve"> (с учетом крупнотоннажных отходов)</w:t>
      </w:r>
      <w:r w:rsidRPr="003E37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3796" w:rsidRPr="003E3796" w:rsidRDefault="003E3796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96">
        <w:rPr>
          <w:rFonts w:ascii="Times New Roman" w:hAnsi="Times New Roman" w:cs="Times New Roman"/>
          <w:sz w:val="24"/>
          <w:szCs w:val="24"/>
        </w:rPr>
        <w:t xml:space="preserve">Свыше 92% образующихся в Минской области отходов производства (с учетом крупнотоннажных галитовых отходов и глинисто–солевых шламов) приходится на </w:t>
      </w:r>
      <w:proofErr w:type="spellStart"/>
      <w:r w:rsidRPr="003E3796">
        <w:rPr>
          <w:rFonts w:ascii="Times New Roman" w:hAnsi="Times New Roman" w:cs="Times New Roman"/>
          <w:sz w:val="24"/>
          <w:szCs w:val="24"/>
        </w:rPr>
        <w:t>Солигорский</w:t>
      </w:r>
      <w:proofErr w:type="spellEnd"/>
      <w:r w:rsidRPr="003E3796">
        <w:rPr>
          <w:rFonts w:ascii="Times New Roman" w:hAnsi="Times New Roman" w:cs="Times New Roman"/>
          <w:sz w:val="24"/>
          <w:szCs w:val="24"/>
        </w:rPr>
        <w:t xml:space="preserve"> район. </w:t>
      </w:r>
    </w:p>
    <w:p w:rsidR="003E3796" w:rsidRPr="003E3796" w:rsidRDefault="003E3796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96">
        <w:rPr>
          <w:rFonts w:ascii="Times New Roman" w:hAnsi="Times New Roman" w:cs="Times New Roman"/>
          <w:sz w:val="24"/>
          <w:szCs w:val="24"/>
        </w:rPr>
        <w:t xml:space="preserve">В 2015 г. на предприятиях Могилевской области образовалось 4605,3 тыс. т отходов (рис. 11.9). Номенклатура отходов производства составляет 657 наименований. Наибольшими объемами образования выделяются отходы минерального происхождения 3782 тыс. т (82,1% от общего объема образования отходов в Могилевской области); отходы растительного и животного происхождения 416,1 тыс. т (9,0%). </w:t>
      </w:r>
    </w:p>
    <w:p w:rsidR="004A55D3" w:rsidRPr="00E45183" w:rsidRDefault="00B04BBA" w:rsidP="00F56232">
      <w:pPr>
        <w:ind w:right="-2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DCB056A" wp14:editId="509BA2DA">
            <wp:extent cx="5229225" cy="30956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A55D3" w:rsidRDefault="004A55D3" w:rsidP="00EE406F">
      <w:pPr>
        <w:pStyle w:val="a5"/>
      </w:pPr>
      <w:r w:rsidRPr="00CF0CA6">
        <w:t>Рис</w:t>
      </w:r>
      <w:r w:rsidR="00CF0CA6" w:rsidRPr="00CF0CA6">
        <w:t>.</w:t>
      </w:r>
      <w:r w:rsidRPr="00CF0CA6">
        <w:t xml:space="preserve"> 1</w:t>
      </w:r>
      <w:r w:rsidR="000934F2">
        <w:t>1</w:t>
      </w:r>
      <w:r w:rsidR="00DF021E" w:rsidRPr="00CF0CA6">
        <w:t>.</w:t>
      </w:r>
      <w:r w:rsidR="00B04BBA">
        <w:t>8</w:t>
      </w:r>
      <w:r w:rsidR="00EE406F" w:rsidRPr="00EE406F">
        <w:t>.</w:t>
      </w:r>
      <w:r w:rsidRPr="00E45183">
        <w:t xml:space="preserve"> Динамика образования и использования отходов производства в Минской области за 2006–201</w:t>
      </w:r>
      <w:r>
        <w:t>5</w:t>
      </w:r>
      <w:r w:rsidRPr="00E45183">
        <w:t xml:space="preserve"> гг. (без учета крупнотоннажных отходов)</w:t>
      </w:r>
    </w:p>
    <w:p w:rsidR="0020020C" w:rsidRPr="00E45183" w:rsidRDefault="0020020C" w:rsidP="00EE406F">
      <w:pPr>
        <w:pStyle w:val="a5"/>
      </w:pPr>
    </w:p>
    <w:p w:rsidR="003E3796" w:rsidRPr="003E3796" w:rsidRDefault="003E3796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340677166"/>
      <w:proofErr w:type="gramStart"/>
      <w:r w:rsidRPr="003E3796">
        <w:rPr>
          <w:rFonts w:ascii="Times New Roman" w:hAnsi="Times New Roman" w:cs="Times New Roman"/>
          <w:sz w:val="24"/>
          <w:szCs w:val="24"/>
        </w:rPr>
        <w:t>На отходы жизнедеятельности населения и подобные им отходы производства приходится 59,3 тыс. т (1,3%); на отходы (осадки) водоподготовки котельно–теплового хозяйства и питьевой воды, очистки сточных, дождевых вод и использования воды на электростанциях – 271,2 тыс. т (5,9%); на долю отходов химических производств и производств, связанных с ними, и медицинских отходов, представляющих наибольшую экологическую опасность, – 76,7 тыс. т (1,7%).</w:t>
      </w:r>
      <w:proofErr w:type="gramEnd"/>
    </w:p>
    <w:bookmarkEnd w:id="4"/>
    <w:p w:rsidR="00F56232" w:rsidRDefault="00683137" w:rsidP="0068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4E2E8D" wp14:editId="455C9244">
            <wp:extent cx="5724525" cy="36480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3137" w:rsidRDefault="00683137" w:rsidP="00EE406F">
      <w:pPr>
        <w:pStyle w:val="a5"/>
      </w:pPr>
      <w:r w:rsidRPr="00CF0CA6">
        <w:t>Рис. 1</w:t>
      </w:r>
      <w:r w:rsidR="003E3796" w:rsidRPr="003E3796">
        <w:t>1</w:t>
      </w:r>
      <w:r w:rsidRPr="00CF0CA6">
        <w:t>.</w:t>
      </w:r>
      <w:r>
        <w:t>9</w:t>
      </w:r>
      <w:r w:rsidR="00EE406F" w:rsidRPr="00EE406F">
        <w:t>.</w:t>
      </w:r>
      <w:r w:rsidRPr="005921E8">
        <w:t xml:space="preserve"> Динамика образования и использования отходов производства в </w:t>
      </w:r>
      <w:r>
        <w:t>Могилевск</w:t>
      </w:r>
      <w:r w:rsidRPr="005921E8">
        <w:t xml:space="preserve">ой области за 2005–2015 гг. </w:t>
      </w:r>
    </w:p>
    <w:p w:rsidR="003E3796" w:rsidRPr="003E3796" w:rsidRDefault="003E3796" w:rsidP="000C0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796">
        <w:rPr>
          <w:rFonts w:ascii="Times New Roman" w:hAnsi="Times New Roman" w:cs="Times New Roman"/>
          <w:sz w:val="24"/>
          <w:szCs w:val="24"/>
        </w:rPr>
        <w:lastRenderedPageBreak/>
        <w:t xml:space="preserve">Свыше 89% отходов производства образуется на предприятиях </w:t>
      </w:r>
      <w:proofErr w:type="spellStart"/>
      <w:r w:rsidRPr="003E3796">
        <w:rPr>
          <w:rFonts w:ascii="Times New Roman" w:hAnsi="Times New Roman" w:cs="Times New Roman"/>
          <w:sz w:val="24"/>
          <w:szCs w:val="24"/>
        </w:rPr>
        <w:t>Костюковичского</w:t>
      </w:r>
      <w:proofErr w:type="spellEnd"/>
      <w:r w:rsidRPr="003E3796">
        <w:rPr>
          <w:rFonts w:ascii="Times New Roman" w:hAnsi="Times New Roman" w:cs="Times New Roman"/>
          <w:sz w:val="24"/>
          <w:szCs w:val="24"/>
        </w:rPr>
        <w:t xml:space="preserve"> (3371,68 тыс. т), </w:t>
      </w:r>
      <w:proofErr w:type="spellStart"/>
      <w:r w:rsidRPr="003E3796">
        <w:rPr>
          <w:rFonts w:ascii="Times New Roman" w:hAnsi="Times New Roman" w:cs="Times New Roman"/>
          <w:sz w:val="24"/>
          <w:szCs w:val="24"/>
        </w:rPr>
        <w:t>Бобруйского</w:t>
      </w:r>
      <w:proofErr w:type="spellEnd"/>
      <w:r w:rsidRPr="003E3796">
        <w:rPr>
          <w:rFonts w:ascii="Times New Roman" w:hAnsi="Times New Roman" w:cs="Times New Roman"/>
          <w:sz w:val="24"/>
          <w:szCs w:val="24"/>
        </w:rPr>
        <w:t xml:space="preserve"> (416,83 тыс. т), Могилевского (328,0 тыс. т) районов. </w:t>
      </w:r>
    </w:p>
    <w:p w:rsidR="00072F79" w:rsidRPr="003E3796" w:rsidRDefault="00072F79" w:rsidP="000C0EB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7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Опасные отходы производства </w:t>
      </w:r>
    </w:p>
    <w:p w:rsidR="00A87CC5" w:rsidRPr="003E3796" w:rsidRDefault="00072F79" w:rsidP="000C0EB4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E3796">
        <w:rPr>
          <w:rFonts w:ascii="Times New Roman" w:hAnsi="Times New Roman" w:cs="Times New Roman"/>
        </w:rPr>
        <w:t>В 201</w:t>
      </w:r>
      <w:r w:rsidR="00A87CC5" w:rsidRPr="003E3796">
        <w:rPr>
          <w:rFonts w:ascii="Times New Roman" w:hAnsi="Times New Roman" w:cs="Times New Roman"/>
        </w:rPr>
        <w:t>5</w:t>
      </w:r>
      <w:r w:rsidRPr="003E3796">
        <w:rPr>
          <w:rFonts w:ascii="Times New Roman" w:hAnsi="Times New Roman" w:cs="Times New Roman"/>
        </w:rPr>
        <w:t xml:space="preserve"> г. объем образования на предприятиях Беларуси отходов 1–4 классов опасности составил 41</w:t>
      </w:r>
      <w:r w:rsidR="008B163F">
        <w:rPr>
          <w:rFonts w:ascii="Times New Roman" w:hAnsi="Times New Roman" w:cs="Times New Roman"/>
        </w:rPr>
        <w:t>227</w:t>
      </w:r>
      <w:r w:rsidRPr="003E3796">
        <w:rPr>
          <w:rFonts w:ascii="Times New Roman" w:hAnsi="Times New Roman" w:cs="Times New Roman"/>
        </w:rPr>
        <w:t>,</w:t>
      </w:r>
      <w:r w:rsidR="008B163F">
        <w:rPr>
          <w:rFonts w:ascii="Times New Roman" w:hAnsi="Times New Roman" w:cs="Times New Roman"/>
        </w:rPr>
        <w:t>19</w:t>
      </w:r>
      <w:r w:rsidRPr="003E3796">
        <w:rPr>
          <w:rFonts w:ascii="Times New Roman" w:hAnsi="Times New Roman" w:cs="Times New Roman"/>
        </w:rPr>
        <w:t xml:space="preserve"> тыс.</w:t>
      </w:r>
      <w:r w:rsidR="00041822" w:rsidRPr="003E3796">
        <w:rPr>
          <w:rFonts w:ascii="Times New Roman" w:hAnsi="Times New Roman" w:cs="Times New Roman"/>
        </w:rPr>
        <w:t> </w:t>
      </w:r>
      <w:r w:rsidRPr="003E3796">
        <w:rPr>
          <w:rFonts w:ascii="Times New Roman" w:hAnsi="Times New Roman" w:cs="Times New Roman"/>
        </w:rPr>
        <w:t>т (табл. 1</w:t>
      </w:r>
      <w:r w:rsidR="008B358F">
        <w:rPr>
          <w:rFonts w:ascii="Times New Roman" w:hAnsi="Times New Roman" w:cs="Times New Roman"/>
        </w:rPr>
        <w:t>1</w:t>
      </w:r>
      <w:r w:rsidRPr="003E3796">
        <w:rPr>
          <w:rFonts w:ascii="Times New Roman" w:hAnsi="Times New Roman" w:cs="Times New Roman"/>
        </w:rPr>
        <w:t>.</w:t>
      </w:r>
      <w:r w:rsidR="007D6B8D" w:rsidRPr="003E3796">
        <w:rPr>
          <w:rFonts w:ascii="Times New Roman" w:hAnsi="Times New Roman" w:cs="Times New Roman"/>
        </w:rPr>
        <w:t>2</w:t>
      </w:r>
      <w:r w:rsidRPr="003E3796">
        <w:rPr>
          <w:rFonts w:ascii="Times New Roman" w:hAnsi="Times New Roman" w:cs="Times New Roman"/>
        </w:rPr>
        <w:t>.), увеличившись по сравнению с 201</w:t>
      </w:r>
      <w:r w:rsidR="00A87CC5" w:rsidRPr="003E3796">
        <w:rPr>
          <w:rFonts w:ascii="Times New Roman" w:hAnsi="Times New Roman" w:cs="Times New Roman"/>
        </w:rPr>
        <w:t>4</w:t>
      </w:r>
      <w:r w:rsidRPr="003E3796">
        <w:rPr>
          <w:rFonts w:ascii="Times New Roman" w:hAnsi="Times New Roman" w:cs="Times New Roman"/>
        </w:rPr>
        <w:t xml:space="preserve"> г. на </w:t>
      </w:r>
      <w:r w:rsidR="00A87CC5" w:rsidRPr="003E3796">
        <w:rPr>
          <w:rFonts w:ascii="Times New Roman" w:hAnsi="Times New Roman" w:cs="Times New Roman"/>
        </w:rPr>
        <w:t>0,5</w:t>
      </w:r>
      <w:r w:rsidRPr="003E3796">
        <w:rPr>
          <w:rFonts w:ascii="Times New Roman" w:hAnsi="Times New Roman" w:cs="Times New Roman"/>
        </w:rPr>
        <w:t>%. Основная доля (</w:t>
      </w:r>
      <w:r w:rsidR="00A87CC5" w:rsidRPr="003E3796">
        <w:rPr>
          <w:rFonts w:ascii="Times New Roman" w:hAnsi="Times New Roman" w:cs="Times New Roman"/>
        </w:rPr>
        <w:t>97</w:t>
      </w:r>
      <w:r w:rsidRPr="003E3796">
        <w:rPr>
          <w:rFonts w:ascii="Times New Roman" w:hAnsi="Times New Roman" w:cs="Times New Roman"/>
        </w:rPr>
        <w:t xml:space="preserve">% или </w:t>
      </w:r>
      <w:r w:rsidR="00A87CC5" w:rsidRPr="003E3796">
        <w:rPr>
          <w:rFonts w:ascii="Times New Roman" w:hAnsi="Times New Roman" w:cs="Times New Roman"/>
        </w:rPr>
        <w:t>40019,4</w:t>
      </w:r>
      <w:r w:rsidRPr="003E3796">
        <w:rPr>
          <w:rFonts w:ascii="Times New Roman" w:hAnsi="Times New Roman" w:cs="Times New Roman"/>
        </w:rPr>
        <w:t>,0 тыс.</w:t>
      </w:r>
      <w:r w:rsidR="00041822" w:rsidRPr="003E3796">
        <w:rPr>
          <w:rFonts w:ascii="Times New Roman" w:hAnsi="Times New Roman" w:cs="Times New Roman"/>
        </w:rPr>
        <w:t> </w:t>
      </w:r>
      <w:r w:rsidRPr="003E3796">
        <w:rPr>
          <w:rFonts w:ascii="Times New Roman" w:hAnsi="Times New Roman" w:cs="Times New Roman"/>
        </w:rPr>
        <w:t xml:space="preserve">т) из них приходилась на отходы 4 класса опасности. Динамика образования отходов производства 1–3 классов опасности приведена на рисунке </w:t>
      </w:r>
      <w:r w:rsidR="003E3796">
        <w:rPr>
          <w:rFonts w:ascii="Times New Roman" w:hAnsi="Times New Roman" w:cs="Times New Roman"/>
        </w:rPr>
        <w:t>1</w:t>
      </w:r>
      <w:r w:rsidR="003E3796" w:rsidRPr="003E3796">
        <w:rPr>
          <w:rFonts w:ascii="Times New Roman" w:hAnsi="Times New Roman" w:cs="Times New Roman"/>
        </w:rPr>
        <w:t>1</w:t>
      </w:r>
      <w:r w:rsidRPr="003E3796">
        <w:rPr>
          <w:rFonts w:ascii="Times New Roman" w:hAnsi="Times New Roman" w:cs="Times New Roman"/>
        </w:rPr>
        <w:t>.</w:t>
      </w:r>
      <w:r w:rsidR="00220700" w:rsidRPr="003E3796">
        <w:rPr>
          <w:rFonts w:ascii="Times New Roman" w:hAnsi="Times New Roman" w:cs="Times New Roman"/>
        </w:rPr>
        <w:t>10</w:t>
      </w:r>
      <w:r w:rsidRPr="003E3796">
        <w:rPr>
          <w:rFonts w:ascii="Times New Roman" w:hAnsi="Times New Roman" w:cs="Times New Roman"/>
        </w:rPr>
        <w:t xml:space="preserve">. </w:t>
      </w:r>
    </w:p>
    <w:p w:rsidR="004C4A60" w:rsidRPr="003E3796" w:rsidRDefault="007D6B8D" w:rsidP="004C4A6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E3796">
        <w:rPr>
          <w:rFonts w:ascii="Times New Roman" w:hAnsi="Times New Roman" w:cs="Times New Roman"/>
          <w:b/>
          <w:i/>
        </w:rPr>
        <w:t>Таблица 1</w:t>
      </w:r>
      <w:r w:rsidR="003E3796" w:rsidRPr="003E3796">
        <w:rPr>
          <w:rFonts w:ascii="Times New Roman" w:hAnsi="Times New Roman" w:cs="Times New Roman"/>
          <w:b/>
          <w:i/>
        </w:rPr>
        <w:t>1</w:t>
      </w:r>
      <w:r w:rsidRPr="003E3796">
        <w:rPr>
          <w:rFonts w:ascii="Times New Roman" w:hAnsi="Times New Roman" w:cs="Times New Roman"/>
          <w:b/>
          <w:i/>
        </w:rPr>
        <w:t>.2</w:t>
      </w:r>
    </w:p>
    <w:p w:rsidR="00F63B44" w:rsidRPr="00A06C15" w:rsidRDefault="007D6B8D" w:rsidP="002002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796">
        <w:rPr>
          <w:rFonts w:ascii="Times New Roman" w:hAnsi="Times New Roman" w:cs="Times New Roman"/>
          <w:b/>
        </w:rPr>
        <w:t>Образование, использование и удаление отходов производства 1</w:t>
      </w:r>
      <w:r w:rsidR="008F1068" w:rsidRPr="003E3796">
        <w:rPr>
          <w:rFonts w:ascii="Times New Roman" w:hAnsi="Times New Roman" w:cs="Times New Roman"/>
          <w:b/>
        </w:rPr>
        <w:t>–</w:t>
      </w:r>
      <w:r w:rsidRPr="003E3796">
        <w:rPr>
          <w:rFonts w:ascii="Times New Roman" w:hAnsi="Times New Roman" w:cs="Times New Roman"/>
          <w:b/>
        </w:rPr>
        <w:t xml:space="preserve">4 классов опасности </w:t>
      </w:r>
    </w:p>
    <w:p w:rsidR="007D6B8D" w:rsidRPr="003E3796" w:rsidRDefault="007D6B8D" w:rsidP="00F63B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E3796">
        <w:rPr>
          <w:rFonts w:ascii="Times New Roman" w:hAnsi="Times New Roman" w:cs="Times New Roman"/>
          <w:b/>
        </w:rPr>
        <w:t>в 201</w:t>
      </w:r>
      <w:r w:rsidR="00393C8F" w:rsidRPr="003E3796">
        <w:rPr>
          <w:rFonts w:ascii="Times New Roman" w:hAnsi="Times New Roman" w:cs="Times New Roman"/>
          <w:b/>
        </w:rPr>
        <w:t>5</w:t>
      </w:r>
      <w:r w:rsidRPr="003E3796">
        <w:rPr>
          <w:rFonts w:ascii="Times New Roman" w:hAnsi="Times New Roman" w:cs="Times New Roman"/>
          <w:b/>
        </w:rPr>
        <w:t xml:space="preserve"> г., тыс.</w:t>
      </w:r>
      <w:r w:rsidR="008F1068" w:rsidRPr="003E3796">
        <w:rPr>
          <w:rFonts w:ascii="Times New Roman" w:hAnsi="Times New Roman" w:cs="Times New Roman"/>
          <w:b/>
        </w:rPr>
        <w:t> </w:t>
      </w:r>
      <w:r w:rsidRPr="003E3796">
        <w:rPr>
          <w:rFonts w:ascii="Times New Roman" w:hAnsi="Times New Roman" w:cs="Times New Roman"/>
          <w:b/>
        </w:rPr>
        <w:t>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286"/>
        <w:gridCol w:w="2287"/>
        <w:gridCol w:w="2287"/>
        <w:gridCol w:w="2287"/>
      </w:tblGrid>
      <w:tr w:rsidR="007D6B8D" w:rsidTr="007D6B8D">
        <w:tc>
          <w:tcPr>
            <w:tcW w:w="2286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Образовано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Использовано, передано*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Удалено**</w:t>
            </w:r>
          </w:p>
        </w:tc>
      </w:tr>
      <w:tr w:rsidR="007D6B8D" w:rsidTr="007D6B8D">
        <w:tc>
          <w:tcPr>
            <w:tcW w:w="2286" w:type="dxa"/>
          </w:tcPr>
          <w:p w:rsidR="007D6B8D" w:rsidRPr="00393C8F" w:rsidRDefault="007D6B8D" w:rsidP="00A8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16,10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13,63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</w:tr>
      <w:tr w:rsidR="007D6B8D" w:rsidTr="007D6B8D">
        <w:tc>
          <w:tcPr>
            <w:tcW w:w="2286" w:type="dxa"/>
          </w:tcPr>
          <w:p w:rsidR="007D6B8D" w:rsidRPr="00393C8F" w:rsidRDefault="007D6B8D" w:rsidP="00A8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</w:tr>
      <w:tr w:rsidR="007D6B8D" w:rsidTr="007D6B8D">
        <w:tc>
          <w:tcPr>
            <w:tcW w:w="2286" w:type="dxa"/>
          </w:tcPr>
          <w:p w:rsidR="007D6B8D" w:rsidRPr="00393C8F" w:rsidRDefault="007D6B8D" w:rsidP="00A8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1178,98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869,71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658,76</w:t>
            </w:r>
          </w:p>
        </w:tc>
      </w:tr>
      <w:tr w:rsidR="007D6B8D" w:rsidTr="007D6B8D">
        <w:tc>
          <w:tcPr>
            <w:tcW w:w="2286" w:type="dxa"/>
          </w:tcPr>
          <w:p w:rsidR="007D6B8D" w:rsidRPr="00393C8F" w:rsidRDefault="007D6B8D" w:rsidP="00A8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  <w:r w:rsidR="008F1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3 класс*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8B1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1207,</w:t>
            </w:r>
            <w:r w:rsidR="008B16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889,78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668,06</w:t>
            </w:r>
          </w:p>
        </w:tc>
      </w:tr>
      <w:tr w:rsidR="007D6B8D" w:rsidTr="007D6B8D">
        <w:tc>
          <w:tcPr>
            <w:tcW w:w="2286" w:type="dxa"/>
          </w:tcPr>
          <w:p w:rsidR="007D6B8D" w:rsidRPr="00393C8F" w:rsidRDefault="007D6B8D" w:rsidP="00A8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40019,39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4820,34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35413,33</w:t>
            </w:r>
          </w:p>
        </w:tc>
      </w:tr>
      <w:tr w:rsidR="007D6B8D" w:rsidTr="007D6B8D">
        <w:tc>
          <w:tcPr>
            <w:tcW w:w="2286" w:type="dxa"/>
          </w:tcPr>
          <w:p w:rsidR="007D6B8D" w:rsidRPr="00393C8F" w:rsidRDefault="007D6B8D" w:rsidP="00A87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Всего 1</w:t>
            </w:r>
            <w:r w:rsidR="008F10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4 класс*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41227,19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5710,12</w:t>
            </w:r>
          </w:p>
        </w:tc>
        <w:tc>
          <w:tcPr>
            <w:tcW w:w="2287" w:type="dxa"/>
            <w:vAlign w:val="center"/>
          </w:tcPr>
          <w:p w:rsidR="007D6B8D" w:rsidRPr="00393C8F" w:rsidRDefault="007D6B8D" w:rsidP="007D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F">
              <w:rPr>
                <w:rFonts w:ascii="Times New Roman" w:hAnsi="Times New Roman" w:cs="Times New Roman"/>
                <w:sz w:val="24"/>
                <w:szCs w:val="24"/>
              </w:rPr>
              <w:t>36081,39</w:t>
            </w:r>
          </w:p>
        </w:tc>
      </w:tr>
    </w:tbl>
    <w:p w:rsidR="007D6B8D" w:rsidRPr="007D6B8D" w:rsidRDefault="007D6B8D" w:rsidP="007D6B8D">
      <w:pPr>
        <w:spacing w:after="0" w:line="240" w:lineRule="auto"/>
        <w:rPr>
          <w:rFonts w:ascii="Times New Roman" w:hAnsi="Times New Roman" w:cs="Times New Roman"/>
        </w:rPr>
      </w:pPr>
      <w:r w:rsidRPr="007D6B8D">
        <w:rPr>
          <w:rFonts w:ascii="Times New Roman" w:hAnsi="Times New Roman" w:cs="Times New Roman"/>
        </w:rPr>
        <w:t>*Незначительные расхождения в данных объясняются округлением;</w:t>
      </w:r>
    </w:p>
    <w:p w:rsidR="007D6B8D" w:rsidRDefault="007D6B8D" w:rsidP="007D6B8D">
      <w:pPr>
        <w:spacing w:after="0" w:line="240" w:lineRule="auto"/>
        <w:rPr>
          <w:rFonts w:ascii="Times New Roman" w:hAnsi="Times New Roman" w:cs="Times New Roman"/>
        </w:rPr>
      </w:pPr>
      <w:r w:rsidRPr="007D6B8D">
        <w:rPr>
          <w:rFonts w:ascii="Times New Roman" w:hAnsi="Times New Roman" w:cs="Times New Roman"/>
        </w:rPr>
        <w:t>**На хранение, захоронение, обезвреживание.</w:t>
      </w:r>
    </w:p>
    <w:p w:rsidR="007D6B8D" w:rsidRDefault="007D6B8D" w:rsidP="007D6B8D">
      <w:pPr>
        <w:spacing w:after="0" w:line="240" w:lineRule="auto"/>
        <w:rPr>
          <w:rFonts w:ascii="Times New Roman" w:hAnsi="Times New Roman" w:cs="Times New Roman"/>
        </w:rPr>
      </w:pPr>
    </w:p>
    <w:p w:rsidR="007D6B8D" w:rsidRPr="007D6B8D" w:rsidRDefault="007D6B8D" w:rsidP="007D6B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25C82" wp14:editId="2B83E69B">
            <wp:extent cx="5772150" cy="27527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E69EA" w:rsidRPr="00F63B44" w:rsidRDefault="00F63B44" w:rsidP="00EE69EA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406F">
        <w:rPr>
          <w:rFonts w:ascii="Times New Roman" w:hAnsi="Times New Roman" w:cs="Times New Roman"/>
          <w:b/>
        </w:rPr>
        <w:t>Рис. 11</w:t>
      </w:r>
      <w:r w:rsidR="00FA1561" w:rsidRPr="00EE406F">
        <w:rPr>
          <w:rFonts w:ascii="Times New Roman" w:hAnsi="Times New Roman" w:cs="Times New Roman"/>
          <w:b/>
        </w:rPr>
        <w:t>.</w:t>
      </w:r>
      <w:r w:rsidR="00220700" w:rsidRPr="00EE406F">
        <w:rPr>
          <w:rFonts w:ascii="Times New Roman" w:hAnsi="Times New Roman" w:cs="Times New Roman"/>
          <w:b/>
        </w:rPr>
        <w:t>10</w:t>
      </w:r>
      <w:r w:rsidR="00FA1561" w:rsidRPr="00F63B44">
        <w:rPr>
          <w:rFonts w:ascii="Times New Roman" w:hAnsi="Times New Roman" w:cs="Times New Roman"/>
          <w:b/>
          <w:i/>
        </w:rPr>
        <w:t>.</w:t>
      </w:r>
      <w:r w:rsidR="00FA1561" w:rsidRPr="00F63B44">
        <w:rPr>
          <w:rFonts w:ascii="Times New Roman" w:hAnsi="Times New Roman" w:cs="Times New Roman"/>
          <w:b/>
        </w:rPr>
        <w:t xml:space="preserve"> Динамика образования отходов производства 1–3 классов опасности на территории Беларуси в 2005–2015 гг. </w:t>
      </w:r>
    </w:p>
    <w:p w:rsidR="00FA1561" w:rsidRPr="00F63B44" w:rsidRDefault="00FA1561" w:rsidP="00EE69EA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3B44">
        <w:rPr>
          <w:rFonts w:ascii="Times New Roman" w:hAnsi="Times New Roman" w:cs="Times New Roman"/>
          <w:b/>
        </w:rPr>
        <w:t>(по данным Национального статистического комитета Республики Беларусь)</w:t>
      </w:r>
    </w:p>
    <w:p w:rsidR="00FA1561" w:rsidRDefault="00FA1561" w:rsidP="00A87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F79" w:rsidRPr="00F63B44" w:rsidRDefault="00072F79" w:rsidP="00F02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Отходы 1–3 классов опасности образуются преимущественно на предприятиях химического и машиностроительного профиля и при эксплуатации транспорта, в их числе: отходы гальванических производств (осадки, шламы); отработанные аккумуляторы; отработанные масла и нефтесодержащие шламы; загрязненные грунты; отходы резинотехнических изделий; минеральные шламы (асбоцементный, серный, шлифовки стекла, карбидный, цинкосодержащий, промывки нерудных материалов и др.); металлические шламы (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металлошлифовальный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 xml:space="preserve">, железосодержащий, шлам стали в </w:t>
      </w:r>
      <w:r w:rsidRPr="00F63B44">
        <w:rPr>
          <w:rFonts w:ascii="Times New Roman" w:hAnsi="Times New Roman" w:cs="Times New Roman"/>
          <w:sz w:val="24"/>
          <w:szCs w:val="24"/>
        </w:rPr>
        <w:lastRenderedPageBreak/>
        <w:t>смазочно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r w:rsidRPr="00F63B44">
        <w:rPr>
          <w:rFonts w:ascii="Times New Roman" w:hAnsi="Times New Roman" w:cs="Times New Roman"/>
          <w:sz w:val="24"/>
          <w:szCs w:val="24"/>
        </w:rPr>
        <w:t>охлаждающей жидкости), отходы лакокрасочных материалов; отработанные щелочи, растворы и органические раствори</w:t>
      </w:r>
      <w:r w:rsidR="00A87CC5" w:rsidRPr="00F63B44">
        <w:rPr>
          <w:rFonts w:ascii="Times New Roman" w:hAnsi="Times New Roman" w:cs="Times New Roman"/>
          <w:sz w:val="24"/>
          <w:szCs w:val="24"/>
        </w:rPr>
        <w:t>тели.</w:t>
      </w:r>
    </w:p>
    <w:p w:rsidR="00ED2E04" w:rsidRPr="00F63B44" w:rsidRDefault="00ED2E04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 xml:space="preserve">Объем образования отходов 1–4 классов опасности на предприятиях </w:t>
      </w:r>
      <w:r w:rsidR="00552076" w:rsidRPr="00F63B44">
        <w:rPr>
          <w:rFonts w:ascii="Times New Roman" w:hAnsi="Times New Roman" w:cs="Times New Roman"/>
          <w:sz w:val="24"/>
          <w:szCs w:val="24"/>
        </w:rPr>
        <w:t xml:space="preserve">Брестской </w:t>
      </w:r>
      <w:r w:rsidRPr="00F63B44">
        <w:rPr>
          <w:rFonts w:ascii="Times New Roman" w:hAnsi="Times New Roman" w:cs="Times New Roman"/>
          <w:sz w:val="24"/>
          <w:szCs w:val="24"/>
        </w:rPr>
        <w:t>области в 2015 г. составил 789,5</w:t>
      </w:r>
      <w:r w:rsidR="008F1068" w:rsidRPr="00F63B44">
        <w:rPr>
          <w:rFonts w:ascii="Times New Roman" w:hAnsi="Times New Roman" w:cs="Times New Roman"/>
          <w:sz w:val="24"/>
          <w:szCs w:val="24"/>
        </w:rPr>
        <w:t xml:space="preserve"> тыс. </w:t>
      </w:r>
      <w:r w:rsidR="00FA1561" w:rsidRPr="00F63B44">
        <w:rPr>
          <w:rFonts w:ascii="Times New Roman" w:hAnsi="Times New Roman" w:cs="Times New Roman"/>
          <w:sz w:val="24"/>
          <w:szCs w:val="24"/>
        </w:rPr>
        <w:t>т</w:t>
      </w:r>
      <w:r w:rsidRPr="00F63B44">
        <w:rPr>
          <w:rFonts w:ascii="Times New Roman" w:hAnsi="Times New Roman" w:cs="Times New Roman"/>
          <w:sz w:val="24"/>
          <w:szCs w:val="24"/>
        </w:rPr>
        <w:t>, а уровень их использования – 80,5%. В структуре образования опасных отходов значительно преобладают отходы 4 класса опасности (645,7 тыс. т или около 81,8% от общего объема образования опасных отходов).</w:t>
      </w:r>
    </w:p>
    <w:p w:rsidR="0096785C" w:rsidRPr="00F63B44" w:rsidRDefault="00B27D9C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На предприятиях Витебской области в 2015 г. объем образования отходов 1–4 классов опасности</w:t>
      </w:r>
      <w:r w:rsidR="008F1068" w:rsidRPr="00F63B44">
        <w:rPr>
          <w:rFonts w:ascii="Times New Roman" w:hAnsi="Times New Roman" w:cs="Times New Roman"/>
          <w:sz w:val="24"/>
          <w:szCs w:val="24"/>
        </w:rPr>
        <w:t xml:space="preserve"> </w:t>
      </w:r>
      <w:r w:rsidR="0060622C" w:rsidRPr="00F63B44">
        <w:rPr>
          <w:rFonts w:ascii="Times New Roman" w:hAnsi="Times New Roman" w:cs="Times New Roman"/>
          <w:sz w:val="24"/>
          <w:szCs w:val="24"/>
        </w:rPr>
        <w:t>составил 233 тыс.</w:t>
      </w:r>
      <w:r w:rsidR="008F1068" w:rsidRPr="00F63B44">
        <w:rPr>
          <w:rFonts w:ascii="Times New Roman" w:hAnsi="Times New Roman" w:cs="Times New Roman"/>
          <w:sz w:val="24"/>
          <w:szCs w:val="24"/>
        </w:rPr>
        <w:t> </w:t>
      </w:r>
      <w:r w:rsidR="0060622C" w:rsidRPr="00F63B44">
        <w:rPr>
          <w:rFonts w:ascii="Times New Roman" w:hAnsi="Times New Roman" w:cs="Times New Roman"/>
          <w:sz w:val="24"/>
          <w:szCs w:val="24"/>
        </w:rPr>
        <w:t>т</w:t>
      </w:r>
      <w:r w:rsidR="0096785C" w:rsidRPr="00F63B44">
        <w:rPr>
          <w:rFonts w:ascii="Times New Roman" w:hAnsi="Times New Roman" w:cs="Times New Roman"/>
          <w:sz w:val="24"/>
          <w:szCs w:val="24"/>
        </w:rPr>
        <w:t>, а уровень их использования – 62,2%. В структуре образования опасных отходов значительно преобладают отходы 4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6785C" w:rsidRPr="00F63B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96785C" w:rsidRPr="00F63B4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52076" w:rsidRPr="00F63B44">
        <w:rPr>
          <w:rFonts w:ascii="Times New Roman" w:hAnsi="Times New Roman" w:cs="Times New Roman"/>
          <w:sz w:val="24"/>
          <w:szCs w:val="24"/>
        </w:rPr>
        <w:t>а опасности (188,2 тыс.</w:t>
      </w:r>
      <w:r w:rsidR="008F1068" w:rsidRPr="00F63B44">
        <w:rPr>
          <w:rFonts w:ascii="Times New Roman" w:hAnsi="Times New Roman" w:cs="Times New Roman"/>
          <w:sz w:val="24"/>
          <w:szCs w:val="24"/>
        </w:rPr>
        <w:t> </w:t>
      </w:r>
      <w:r w:rsidR="00552076" w:rsidRPr="00F63B44">
        <w:rPr>
          <w:rFonts w:ascii="Times New Roman" w:hAnsi="Times New Roman" w:cs="Times New Roman"/>
          <w:sz w:val="24"/>
          <w:szCs w:val="24"/>
        </w:rPr>
        <w:t xml:space="preserve">т 80,7% </w:t>
      </w:r>
      <w:r w:rsidR="0096785C" w:rsidRPr="00F63B44">
        <w:rPr>
          <w:rFonts w:ascii="Times New Roman" w:hAnsi="Times New Roman" w:cs="Times New Roman"/>
          <w:sz w:val="24"/>
          <w:szCs w:val="24"/>
        </w:rPr>
        <w:t>от общего объема образования опасных отходов).</w:t>
      </w:r>
    </w:p>
    <w:p w:rsidR="00970F00" w:rsidRPr="00F63B44" w:rsidRDefault="008C30CF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В Гомельской области о</w:t>
      </w:r>
      <w:r w:rsidR="00970F00" w:rsidRPr="00F63B44">
        <w:rPr>
          <w:rFonts w:ascii="Times New Roman" w:hAnsi="Times New Roman" w:cs="Times New Roman"/>
          <w:sz w:val="24"/>
          <w:szCs w:val="24"/>
        </w:rPr>
        <w:t xml:space="preserve">бъем образования отходов 1–3 классов опасности на предприятиях в 2015 г. составил 91,2 тыс. т, из них отходов 3 класса опасности – около 85,0 тыс. т. </w:t>
      </w:r>
    </w:p>
    <w:p w:rsidR="00970F00" w:rsidRPr="00F63B44" w:rsidRDefault="00970F00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Из общего объема образовавшихся отходов 1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r w:rsidRPr="00F63B44">
        <w:rPr>
          <w:rFonts w:ascii="Times New Roman" w:hAnsi="Times New Roman" w:cs="Times New Roman"/>
          <w:sz w:val="24"/>
          <w:szCs w:val="24"/>
        </w:rPr>
        <w:t>3 класса опасности в 2015 г. захоронено около 17,3 тыс. т отходов 3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 xml:space="preserve"> класса опасности.</w:t>
      </w:r>
    </w:p>
    <w:p w:rsidR="00970F00" w:rsidRPr="00F63B44" w:rsidRDefault="00970F00" w:rsidP="00F0215A">
      <w:pPr>
        <w:spacing w:after="0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 xml:space="preserve">Количество отходов 1–3 классов опасности, находящихся на хранении на предприятиях, составило к концу 2015 г. около 734,5 тыс. т. </w:t>
      </w:r>
    </w:p>
    <w:p w:rsidR="00952BDA" w:rsidRPr="00F63B44" w:rsidRDefault="00952BDA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Объем образования отходов 1–4 классов опасности на предприятиях</w:t>
      </w:r>
      <w:r w:rsidR="00552076" w:rsidRPr="00F63B44">
        <w:rPr>
          <w:rFonts w:ascii="Times New Roman" w:hAnsi="Times New Roman" w:cs="Times New Roman"/>
          <w:sz w:val="24"/>
          <w:szCs w:val="24"/>
        </w:rPr>
        <w:t xml:space="preserve"> Гродненской</w:t>
      </w:r>
      <w:r w:rsidRPr="00F63B44">
        <w:rPr>
          <w:rFonts w:ascii="Times New Roman" w:hAnsi="Times New Roman" w:cs="Times New Roman"/>
          <w:sz w:val="24"/>
          <w:szCs w:val="24"/>
        </w:rPr>
        <w:t xml:space="preserve"> области в 2015 г. составил 1376,9 </w:t>
      </w:r>
      <w:r w:rsidR="0060622C" w:rsidRPr="00F63B44">
        <w:rPr>
          <w:rFonts w:ascii="Times New Roman" w:hAnsi="Times New Roman" w:cs="Times New Roman"/>
          <w:sz w:val="24"/>
          <w:szCs w:val="24"/>
        </w:rPr>
        <w:t>тыс.</w:t>
      </w:r>
      <w:r w:rsidR="008F1068" w:rsidRPr="00F63B44">
        <w:rPr>
          <w:rFonts w:ascii="Times New Roman" w:hAnsi="Times New Roman" w:cs="Times New Roman"/>
          <w:sz w:val="24"/>
          <w:szCs w:val="24"/>
        </w:rPr>
        <w:t> </w:t>
      </w:r>
      <w:r w:rsidR="0060622C" w:rsidRPr="00F63B44">
        <w:rPr>
          <w:rFonts w:ascii="Times New Roman" w:hAnsi="Times New Roman" w:cs="Times New Roman"/>
          <w:sz w:val="24"/>
          <w:szCs w:val="24"/>
        </w:rPr>
        <w:t>т</w:t>
      </w:r>
      <w:r w:rsidRPr="00F63B44">
        <w:rPr>
          <w:rFonts w:ascii="Times New Roman" w:hAnsi="Times New Roman" w:cs="Times New Roman"/>
          <w:sz w:val="24"/>
          <w:szCs w:val="24"/>
        </w:rPr>
        <w:t>, а уровень их использования – 53,4%. В структуре образования опасных отходов значительно преобладают отходы 4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 xml:space="preserve"> класса опасности (1097,28 тыс.</w:t>
      </w:r>
      <w:r w:rsidR="00356CAC" w:rsidRPr="00F63B44">
        <w:rPr>
          <w:rFonts w:ascii="Times New Roman" w:hAnsi="Times New Roman" w:cs="Times New Roman"/>
          <w:sz w:val="24"/>
          <w:szCs w:val="24"/>
        </w:rPr>
        <w:t> </w:t>
      </w:r>
      <w:r w:rsidRPr="00F63B44">
        <w:rPr>
          <w:rFonts w:ascii="Times New Roman" w:hAnsi="Times New Roman" w:cs="Times New Roman"/>
          <w:sz w:val="24"/>
          <w:szCs w:val="24"/>
        </w:rPr>
        <w:t>т или 79,6% от общего объема образования опасных отходов).</w:t>
      </w:r>
    </w:p>
    <w:p w:rsidR="00F63B44" w:rsidRPr="00A06C15" w:rsidRDefault="008C30CF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В г.</w:t>
      </w:r>
      <w:r w:rsidR="00356CAC" w:rsidRPr="00F63B44">
        <w:rPr>
          <w:rFonts w:ascii="Times New Roman" w:hAnsi="Times New Roman" w:cs="Times New Roman"/>
          <w:sz w:val="24"/>
          <w:szCs w:val="24"/>
        </w:rPr>
        <w:t> </w:t>
      </w:r>
      <w:r w:rsidRPr="00F63B44">
        <w:rPr>
          <w:rFonts w:ascii="Times New Roman" w:hAnsi="Times New Roman" w:cs="Times New Roman"/>
          <w:sz w:val="24"/>
          <w:szCs w:val="24"/>
        </w:rPr>
        <w:t>Минске о</w:t>
      </w:r>
      <w:r w:rsidR="00F346F3" w:rsidRPr="00F63B44">
        <w:rPr>
          <w:rFonts w:ascii="Times New Roman" w:hAnsi="Times New Roman" w:cs="Times New Roman"/>
          <w:sz w:val="24"/>
          <w:szCs w:val="24"/>
        </w:rPr>
        <w:t>бъем образования отходов 1–4 классов опасности на предприятиях в 2015 г. составил 1110,4</w:t>
      </w:r>
      <w:r w:rsidR="0060622C" w:rsidRPr="00F63B44">
        <w:rPr>
          <w:rFonts w:ascii="Times New Roman" w:hAnsi="Times New Roman" w:cs="Times New Roman"/>
          <w:sz w:val="24"/>
          <w:szCs w:val="24"/>
        </w:rPr>
        <w:t xml:space="preserve"> тыс. т</w:t>
      </w:r>
      <w:r w:rsidR="00F346F3" w:rsidRPr="00F63B44">
        <w:rPr>
          <w:rFonts w:ascii="Times New Roman" w:hAnsi="Times New Roman" w:cs="Times New Roman"/>
          <w:sz w:val="24"/>
          <w:szCs w:val="24"/>
        </w:rPr>
        <w:t xml:space="preserve">, а уровень их использования – 53,1%. В структуре образования опасных отходов на территории города значительно преобладают отходы </w:t>
      </w:r>
    </w:p>
    <w:p w:rsidR="00F346F3" w:rsidRPr="00F63B44" w:rsidRDefault="00F346F3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4</w:t>
      </w:r>
      <w:r w:rsidR="00F63B44" w:rsidRPr="00F63B44">
        <w:rPr>
          <w:rFonts w:ascii="Times New Roman" w:hAnsi="Times New Roman" w:cs="Times New Roman"/>
          <w:sz w:val="24"/>
          <w:szCs w:val="24"/>
        </w:rPr>
        <w:t>-</w:t>
      </w:r>
      <w:r w:rsidRPr="00F63B44">
        <w:rPr>
          <w:rFonts w:ascii="Times New Roman" w:hAnsi="Times New Roman" w:cs="Times New Roman"/>
          <w:sz w:val="24"/>
          <w:szCs w:val="24"/>
        </w:rPr>
        <w:t>го класса опасности (751,1 тыс.</w:t>
      </w:r>
      <w:r w:rsidR="00356CAC" w:rsidRPr="00F63B44">
        <w:rPr>
          <w:rFonts w:ascii="Times New Roman" w:hAnsi="Times New Roman" w:cs="Times New Roman"/>
          <w:sz w:val="24"/>
          <w:szCs w:val="24"/>
        </w:rPr>
        <w:t> </w:t>
      </w:r>
      <w:r w:rsidRPr="00F63B44">
        <w:rPr>
          <w:rFonts w:ascii="Times New Roman" w:hAnsi="Times New Roman" w:cs="Times New Roman"/>
          <w:sz w:val="24"/>
          <w:szCs w:val="24"/>
        </w:rPr>
        <w:t>т или 67,6% общего объема образования опасных отходов).</w:t>
      </w:r>
    </w:p>
    <w:p w:rsidR="00DE7800" w:rsidRPr="00F63B44" w:rsidRDefault="008C30CF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На предприятиях Минской области о</w:t>
      </w:r>
      <w:r w:rsidR="00DE7800" w:rsidRPr="00F63B44">
        <w:rPr>
          <w:rFonts w:ascii="Times New Roman" w:hAnsi="Times New Roman" w:cs="Times New Roman"/>
          <w:sz w:val="24"/>
          <w:szCs w:val="24"/>
        </w:rPr>
        <w:t>бъем образования отходов 1–4 классов опасности в 2015 г. составил 34466,4 тыс. т, а уровень их использования 3,9%. В структуре образования опасных отходов значительно преобладают отходы 4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E7800" w:rsidRPr="00F63B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E7800" w:rsidRPr="00F63B44">
        <w:rPr>
          <w:rFonts w:ascii="Times New Roman" w:hAnsi="Times New Roman" w:cs="Times New Roman"/>
          <w:sz w:val="24"/>
          <w:szCs w:val="24"/>
        </w:rPr>
        <w:t xml:space="preserve"> класса опасности (34387,8 тыс.</w:t>
      </w:r>
      <w:r w:rsidR="008F1068" w:rsidRPr="00F63B44">
        <w:rPr>
          <w:rFonts w:ascii="Times New Roman" w:hAnsi="Times New Roman" w:cs="Times New Roman"/>
          <w:sz w:val="24"/>
          <w:szCs w:val="24"/>
        </w:rPr>
        <w:t> </w:t>
      </w:r>
      <w:r w:rsidR="00DE7800" w:rsidRPr="00F63B44">
        <w:rPr>
          <w:rFonts w:ascii="Times New Roman" w:hAnsi="Times New Roman" w:cs="Times New Roman"/>
          <w:sz w:val="24"/>
          <w:szCs w:val="24"/>
        </w:rPr>
        <w:t>т или 99,8%от общего объема образования опасных отходов 1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r w:rsidR="00DE7800" w:rsidRPr="00F63B44">
        <w:rPr>
          <w:rFonts w:ascii="Times New Roman" w:hAnsi="Times New Roman" w:cs="Times New Roman"/>
          <w:sz w:val="24"/>
          <w:szCs w:val="24"/>
        </w:rPr>
        <w:t>4 классов опасности).</w:t>
      </w:r>
    </w:p>
    <w:p w:rsidR="00DE7800" w:rsidRPr="00F63B44" w:rsidRDefault="00DE7800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>В 2015 г. захоронено 57,3 тыс.</w:t>
      </w:r>
      <w:r w:rsidR="008F1068" w:rsidRPr="00F63B44">
        <w:rPr>
          <w:rFonts w:ascii="Times New Roman" w:hAnsi="Times New Roman" w:cs="Times New Roman"/>
          <w:sz w:val="24"/>
          <w:szCs w:val="24"/>
        </w:rPr>
        <w:t> </w:t>
      </w:r>
      <w:r w:rsidRPr="00F63B44">
        <w:rPr>
          <w:rFonts w:ascii="Times New Roman" w:hAnsi="Times New Roman" w:cs="Times New Roman"/>
          <w:sz w:val="24"/>
          <w:szCs w:val="24"/>
        </w:rPr>
        <w:t>т отходов 4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 xml:space="preserve"> класса опасности и около 12,8 тыс.</w:t>
      </w:r>
      <w:r w:rsidR="008F1068" w:rsidRPr="00F63B44">
        <w:rPr>
          <w:rFonts w:ascii="Times New Roman" w:hAnsi="Times New Roman" w:cs="Times New Roman"/>
          <w:sz w:val="24"/>
          <w:szCs w:val="24"/>
        </w:rPr>
        <w:t> </w:t>
      </w:r>
      <w:r w:rsidRPr="00F63B44">
        <w:rPr>
          <w:rFonts w:ascii="Times New Roman" w:hAnsi="Times New Roman" w:cs="Times New Roman"/>
          <w:sz w:val="24"/>
          <w:szCs w:val="24"/>
        </w:rPr>
        <w:t>т отходов 3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 xml:space="preserve"> класса опасности. </w:t>
      </w:r>
    </w:p>
    <w:p w:rsidR="00552076" w:rsidRPr="00F63B44" w:rsidRDefault="00552076" w:rsidP="00F0215A">
      <w:pPr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B44">
        <w:rPr>
          <w:rFonts w:ascii="Times New Roman" w:hAnsi="Times New Roman" w:cs="Times New Roman"/>
          <w:sz w:val="24"/>
          <w:szCs w:val="24"/>
        </w:rPr>
        <w:t xml:space="preserve">Объем образования отходов 1–4 классов опасности на предприятиях </w:t>
      </w:r>
      <w:r w:rsidR="000738D2" w:rsidRPr="00F63B44">
        <w:rPr>
          <w:rFonts w:ascii="Times New Roman" w:hAnsi="Times New Roman" w:cs="Times New Roman"/>
          <w:sz w:val="24"/>
          <w:szCs w:val="24"/>
        </w:rPr>
        <w:t xml:space="preserve">Могилевской </w:t>
      </w:r>
      <w:r w:rsidRPr="00F63B44">
        <w:rPr>
          <w:rFonts w:ascii="Times New Roman" w:hAnsi="Times New Roman" w:cs="Times New Roman"/>
          <w:sz w:val="24"/>
          <w:szCs w:val="24"/>
        </w:rPr>
        <w:t>области в 2015 г. составил 816,3</w:t>
      </w:r>
      <w:r w:rsidR="00356CAC" w:rsidRPr="00F63B44">
        <w:rPr>
          <w:rFonts w:ascii="Times New Roman" w:hAnsi="Times New Roman" w:cs="Times New Roman"/>
          <w:sz w:val="24"/>
          <w:szCs w:val="24"/>
        </w:rPr>
        <w:t xml:space="preserve"> </w:t>
      </w:r>
      <w:r w:rsidR="0060622C" w:rsidRPr="00F63B44">
        <w:rPr>
          <w:rFonts w:ascii="Times New Roman" w:hAnsi="Times New Roman" w:cs="Times New Roman"/>
          <w:sz w:val="24"/>
          <w:szCs w:val="24"/>
        </w:rPr>
        <w:t>тыс.</w:t>
      </w:r>
      <w:r w:rsidR="00356CAC" w:rsidRPr="00F63B44">
        <w:rPr>
          <w:rFonts w:ascii="Times New Roman" w:hAnsi="Times New Roman" w:cs="Times New Roman"/>
          <w:sz w:val="24"/>
          <w:szCs w:val="24"/>
        </w:rPr>
        <w:t> </w:t>
      </w:r>
      <w:r w:rsidR="0060622C" w:rsidRPr="00F63B44">
        <w:rPr>
          <w:rFonts w:ascii="Times New Roman" w:hAnsi="Times New Roman" w:cs="Times New Roman"/>
          <w:sz w:val="24"/>
          <w:szCs w:val="24"/>
        </w:rPr>
        <w:t>т</w:t>
      </w:r>
      <w:r w:rsidRPr="00F63B44">
        <w:rPr>
          <w:rFonts w:ascii="Times New Roman" w:hAnsi="Times New Roman" w:cs="Times New Roman"/>
          <w:sz w:val="24"/>
          <w:szCs w:val="24"/>
        </w:rPr>
        <w:t>, а уровень их использования – 83,3%. В структуре образования опасных отходов значительно преобладают отходы 4</w:t>
      </w:r>
      <w:r w:rsidR="008F1068" w:rsidRPr="00F63B4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63B4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63B44">
        <w:rPr>
          <w:rFonts w:ascii="Times New Roman" w:hAnsi="Times New Roman" w:cs="Times New Roman"/>
          <w:sz w:val="24"/>
          <w:szCs w:val="24"/>
        </w:rPr>
        <w:t xml:space="preserve"> класса опасности (534,8 тыс.</w:t>
      </w:r>
      <w:r w:rsidR="00356CAC" w:rsidRPr="00F63B44">
        <w:rPr>
          <w:rFonts w:ascii="Times New Roman" w:hAnsi="Times New Roman" w:cs="Times New Roman"/>
          <w:sz w:val="24"/>
          <w:szCs w:val="24"/>
        </w:rPr>
        <w:t> </w:t>
      </w:r>
      <w:r w:rsidRPr="00F63B44">
        <w:rPr>
          <w:rFonts w:ascii="Times New Roman" w:hAnsi="Times New Roman" w:cs="Times New Roman"/>
          <w:sz w:val="24"/>
          <w:szCs w:val="24"/>
        </w:rPr>
        <w:t>т или 65,5</w:t>
      </w:r>
      <w:r w:rsidR="00356CAC" w:rsidRPr="00F63B44">
        <w:rPr>
          <w:rFonts w:ascii="Times New Roman" w:hAnsi="Times New Roman" w:cs="Times New Roman"/>
          <w:sz w:val="24"/>
          <w:szCs w:val="24"/>
        </w:rPr>
        <w:t>%</w:t>
      </w:r>
      <w:r w:rsidRPr="00F63B44">
        <w:rPr>
          <w:rFonts w:ascii="Times New Roman" w:hAnsi="Times New Roman" w:cs="Times New Roman"/>
          <w:sz w:val="24"/>
          <w:szCs w:val="24"/>
        </w:rPr>
        <w:t xml:space="preserve"> от общего объема образования опасных отходов).</w:t>
      </w:r>
    </w:p>
    <w:p w:rsidR="00F0215A" w:rsidRDefault="00F0215A" w:rsidP="00F0215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60806" w:rsidRPr="00F63B44" w:rsidRDefault="00860806" w:rsidP="00F0215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3B44">
        <w:rPr>
          <w:rFonts w:ascii="Times New Roman" w:hAnsi="Times New Roman" w:cs="Times New Roman"/>
          <w:b/>
          <w:bCs/>
          <w:i/>
          <w:iCs/>
        </w:rPr>
        <w:t>1</w:t>
      </w:r>
      <w:r w:rsidR="008C7D77">
        <w:rPr>
          <w:rFonts w:ascii="Times New Roman" w:hAnsi="Times New Roman" w:cs="Times New Roman"/>
          <w:b/>
          <w:bCs/>
          <w:i/>
          <w:iCs/>
        </w:rPr>
        <w:t>1</w:t>
      </w:r>
      <w:r w:rsidRPr="00F63B44">
        <w:rPr>
          <w:rFonts w:ascii="Times New Roman" w:hAnsi="Times New Roman" w:cs="Times New Roman"/>
          <w:b/>
          <w:bCs/>
          <w:i/>
          <w:iCs/>
        </w:rPr>
        <w:t xml:space="preserve">.2. Управление отходами </w:t>
      </w:r>
    </w:p>
    <w:p w:rsidR="00860806" w:rsidRPr="00F63B44" w:rsidRDefault="00860806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3B44">
        <w:rPr>
          <w:rFonts w:ascii="Times New Roman" w:hAnsi="Times New Roman" w:cs="Times New Roman"/>
        </w:rPr>
        <w:t xml:space="preserve">Основной принцип управления отходами заключаются в уменьшении объемов образования отходов и предотвращении их вредного воздействия на окружающую среду, здоровье граждан, имущество, находящееся в собственности государства, имущество юридических и физических лиц, а также максимальном вовлечении отходов в гражданский оборот в качестве вторичного сырья. </w:t>
      </w:r>
    </w:p>
    <w:p w:rsidR="00F0215A" w:rsidRDefault="00F0215A" w:rsidP="00F0215A">
      <w:pPr>
        <w:pStyle w:val="Default1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F0215A" w:rsidRDefault="00F0215A" w:rsidP="00F0215A">
      <w:pPr>
        <w:pStyle w:val="Default1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860806" w:rsidRPr="00F63B44" w:rsidRDefault="00860806" w:rsidP="00F0215A">
      <w:pPr>
        <w:pStyle w:val="Default1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63B44">
        <w:rPr>
          <w:rFonts w:ascii="Times New Roman" w:hAnsi="Times New Roman" w:cs="Times New Roman"/>
          <w:b/>
          <w:bCs/>
          <w:i/>
          <w:iCs/>
          <w:color w:val="000000"/>
        </w:rPr>
        <w:lastRenderedPageBreak/>
        <w:t xml:space="preserve">Использование отходов производства </w:t>
      </w:r>
    </w:p>
    <w:p w:rsidR="009949A5" w:rsidRPr="00F63B44" w:rsidRDefault="009949A5" w:rsidP="00F0215A">
      <w:pPr>
        <w:pStyle w:val="Default"/>
        <w:tabs>
          <w:tab w:val="left" w:pos="547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63B44">
        <w:rPr>
          <w:rFonts w:ascii="Times New Roman" w:hAnsi="Times New Roman" w:cs="Times New Roman"/>
          <w:color w:val="auto"/>
        </w:rPr>
        <w:t>С учетом крупнотоннажных отходов в 2015 г. использовано 12164</w:t>
      </w:r>
      <w:r w:rsidR="00EE69EA" w:rsidRPr="00F63B44">
        <w:rPr>
          <w:rFonts w:ascii="Times New Roman" w:hAnsi="Times New Roman" w:cs="Times New Roman"/>
          <w:color w:val="auto"/>
        </w:rPr>
        <w:t xml:space="preserve"> тыс. </w:t>
      </w:r>
      <w:r w:rsidRPr="00F63B44">
        <w:rPr>
          <w:rFonts w:ascii="Times New Roman" w:hAnsi="Times New Roman" w:cs="Times New Roman"/>
          <w:color w:val="auto"/>
        </w:rPr>
        <w:t>т отходов, а уровень использования отх</w:t>
      </w:r>
      <w:r w:rsidR="00EE69EA" w:rsidRPr="00F63B44">
        <w:rPr>
          <w:rFonts w:ascii="Times New Roman" w:hAnsi="Times New Roman" w:cs="Times New Roman"/>
          <w:color w:val="auto"/>
        </w:rPr>
        <w:t>одов производства составил 24,4</w:t>
      </w:r>
      <w:r w:rsidRPr="00F63B44">
        <w:rPr>
          <w:rFonts w:ascii="Times New Roman" w:hAnsi="Times New Roman" w:cs="Times New Roman"/>
          <w:color w:val="auto"/>
        </w:rPr>
        <w:t>%</w:t>
      </w:r>
      <w:r w:rsidR="00356CAC" w:rsidRPr="00F63B44">
        <w:rPr>
          <w:rFonts w:ascii="Times New Roman" w:hAnsi="Times New Roman" w:cs="Times New Roman"/>
          <w:color w:val="auto"/>
        </w:rPr>
        <w:t xml:space="preserve"> </w:t>
      </w:r>
      <w:r w:rsidR="00793575" w:rsidRPr="00F63B44">
        <w:rPr>
          <w:rFonts w:ascii="Times New Roman" w:hAnsi="Times New Roman" w:cs="Times New Roman"/>
          <w:color w:val="auto"/>
        </w:rPr>
        <w:t>(рис. 1</w:t>
      </w:r>
      <w:r w:rsidR="00F63B44" w:rsidRPr="00F63B44">
        <w:rPr>
          <w:rFonts w:ascii="Times New Roman" w:hAnsi="Times New Roman" w:cs="Times New Roman"/>
          <w:color w:val="auto"/>
        </w:rPr>
        <w:t>1</w:t>
      </w:r>
      <w:r w:rsidR="00793575" w:rsidRPr="00F63B44">
        <w:rPr>
          <w:rFonts w:ascii="Times New Roman" w:hAnsi="Times New Roman" w:cs="Times New Roman"/>
          <w:color w:val="auto"/>
        </w:rPr>
        <w:t>.11)</w:t>
      </w:r>
      <w:r w:rsidRPr="00F63B44">
        <w:rPr>
          <w:rFonts w:ascii="Times New Roman" w:hAnsi="Times New Roman" w:cs="Times New Roman"/>
          <w:color w:val="auto"/>
        </w:rPr>
        <w:t xml:space="preserve">. </w:t>
      </w:r>
    </w:p>
    <w:p w:rsidR="00393C8F" w:rsidRDefault="00393C8F" w:rsidP="009949A5">
      <w:pPr>
        <w:pStyle w:val="Default"/>
        <w:tabs>
          <w:tab w:val="left" w:pos="5474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C8F" w:rsidRDefault="00393C8F" w:rsidP="00F41073">
      <w:pPr>
        <w:pStyle w:val="Default"/>
        <w:tabs>
          <w:tab w:val="left" w:pos="5474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329A0D" wp14:editId="764CEB71">
            <wp:extent cx="5772150" cy="27527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63B44" w:rsidRPr="00A06C15" w:rsidRDefault="00393C8F" w:rsidP="00F41073">
      <w:pPr>
        <w:pStyle w:val="Default"/>
        <w:tabs>
          <w:tab w:val="left" w:pos="5474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E406F">
        <w:rPr>
          <w:rFonts w:ascii="Times New Roman" w:hAnsi="Times New Roman" w:cs="Times New Roman"/>
          <w:b/>
          <w:color w:val="auto"/>
          <w:sz w:val="22"/>
          <w:szCs w:val="22"/>
        </w:rPr>
        <w:t>Рис. 1</w:t>
      </w:r>
      <w:r w:rsidR="00F63B44" w:rsidRPr="00EE406F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Pr="00EE406F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EE69EA" w:rsidRPr="00EE406F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793575" w:rsidRPr="00EE406F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Pr="00EE406F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F63B4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Динамика использования отходов производства</w:t>
      </w:r>
      <w:r w:rsidR="00380F8D" w:rsidRPr="00F63B4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63B44">
        <w:rPr>
          <w:rFonts w:ascii="Times New Roman" w:hAnsi="Times New Roman" w:cs="Times New Roman"/>
          <w:b/>
          <w:color w:val="auto"/>
          <w:sz w:val="22"/>
          <w:szCs w:val="22"/>
        </w:rPr>
        <w:t>в 2005–2015 гг.</w:t>
      </w:r>
    </w:p>
    <w:p w:rsidR="00393C8F" w:rsidRPr="00F63B44" w:rsidRDefault="00393C8F" w:rsidP="00F41073">
      <w:pPr>
        <w:pStyle w:val="Default"/>
        <w:tabs>
          <w:tab w:val="left" w:pos="5474"/>
        </w:tabs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63B44">
        <w:rPr>
          <w:rFonts w:ascii="Times New Roman" w:hAnsi="Times New Roman" w:cs="Times New Roman"/>
          <w:b/>
          <w:color w:val="auto"/>
          <w:sz w:val="22"/>
          <w:szCs w:val="22"/>
        </w:rPr>
        <w:t>(по данным Национального статистического</w:t>
      </w:r>
      <w:r w:rsidR="00380F8D" w:rsidRPr="00F63B4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63B44">
        <w:rPr>
          <w:rFonts w:ascii="Times New Roman" w:hAnsi="Times New Roman" w:cs="Times New Roman"/>
          <w:b/>
          <w:color w:val="auto"/>
          <w:sz w:val="22"/>
          <w:szCs w:val="22"/>
        </w:rPr>
        <w:t>комитета Республики Беларусь)</w:t>
      </w:r>
    </w:p>
    <w:p w:rsidR="00393C8F" w:rsidRPr="00393C8F" w:rsidRDefault="00393C8F" w:rsidP="00393C8F">
      <w:pPr>
        <w:pStyle w:val="Default"/>
        <w:tabs>
          <w:tab w:val="left" w:pos="5474"/>
        </w:tabs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9949A5" w:rsidRPr="000262FC" w:rsidRDefault="009949A5" w:rsidP="000262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62FC">
        <w:rPr>
          <w:rFonts w:ascii="Times New Roman" w:hAnsi="Times New Roman" w:cs="Times New Roman"/>
        </w:rPr>
        <w:t xml:space="preserve">На нужды самих предприятий использовано 54,5 % </w:t>
      </w:r>
      <w:r w:rsidR="00793575" w:rsidRPr="000262FC">
        <w:rPr>
          <w:rFonts w:ascii="Times New Roman" w:hAnsi="Times New Roman" w:cs="Times New Roman"/>
        </w:rPr>
        <w:t xml:space="preserve">от </w:t>
      </w:r>
      <w:r w:rsidRPr="000262FC">
        <w:rPr>
          <w:rFonts w:ascii="Times New Roman" w:hAnsi="Times New Roman" w:cs="Times New Roman"/>
        </w:rPr>
        <w:t xml:space="preserve">общего количества использованных отходов, а 45,5% </w:t>
      </w:r>
      <w:r w:rsidR="008F1068" w:rsidRPr="000262FC">
        <w:rPr>
          <w:rFonts w:ascii="Times New Roman" w:hAnsi="Times New Roman" w:cs="Times New Roman"/>
        </w:rPr>
        <w:t>–</w:t>
      </w:r>
      <w:r w:rsidRPr="000262FC">
        <w:rPr>
          <w:rFonts w:ascii="Times New Roman" w:hAnsi="Times New Roman" w:cs="Times New Roman"/>
        </w:rPr>
        <w:t xml:space="preserve"> переданы другим предприятиям, реализованы или экспортированы для дальнейшего использования</w:t>
      </w:r>
      <w:r w:rsidR="000262FC">
        <w:rPr>
          <w:rFonts w:ascii="Times New Roman" w:hAnsi="Times New Roman" w:cs="Times New Roman"/>
        </w:rPr>
        <w:t xml:space="preserve"> (рис. 1</w:t>
      </w:r>
      <w:r w:rsidR="000262FC" w:rsidRPr="000262FC">
        <w:rPr>
          <w:rFonts w:ascii="Times New Roman" w:hAnsi="Times New Roman" w:cs="Times New Roman"/>
        </w:rPr>
        <w:t>1</w:t>
      </w:r>
      <w:r w:rsidRPr="000262FC">
        <w:rPr>
          <w:rFonts w:ascii="Times New Roman" w:hAnsi="Times New Roman" w:cs="Times New Roman"/>
        </w:rPr>
        <w:t>.</w:t>
      </w:r>
      <w:r w:rsidR="00EE69EA" w:rsidRPr="000262FC">
        <w:rPr>
          <w:rFonts w:ascii="Times New Roman" w:hAnsi="Times New Roman" w:cs="Times New Roman"/>
        </w:rPr>
        <w:t>1</w:t>
      </w:r>
      <w:r w:rsidR="00793575" w:rsidRPr="000262FC">
        <w:rPr>
          <w:rFonts w:ascii="Times New Roman" w:hAnsi="Times New Roman" w:cs="Times New Roman"/>
        </w:rPr>
        <w:t>2</w:t>
      </w:r>
      <w:r w:rsidRPr="000262FC">
        <w:rPr>
          <w:rFonts w:ascii="Times New Roman" w:hAnsi="Times New Roman" w:cs="Times New Roman"/>
        </w:rPr>
        <w:t>).</w:t>
      </w:r>
    </w:p>
    <w:p w:rsidR="00EE69EA" w:rsidRDefault="00EE69EA" w:rsidP="009949A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9A5" w:rsidRPr="00E45183" w:rsidRDefault="009949A5" w:rsidP="00A72F59">
      <w:pPr>
        <w:pStyle w:val="21"/>
        <w:spacing w:line="360" w:lineRule="auto"/>
        <w:ind w:left="0" w:right="282" w:firstLine="0"/>
        <w:jc w:val="center"/>
      </w:pPr>
      <w:r>
        <w:rPr>
          <w:noProof/>
        </w:rPr>
        <w:drawing>
          <wp:inline distT="0" distB="0" distL="0" distR="0" wp14:anchorId="1E26C634" wp14:editId="508E7D39">
            <wp:extent cx="5353050" cy="2371725"/>
            <wp:effectExtent l="0" t="0" r="0" b="0"/>
            <wp:docPr id="28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949A5" w:rsidRDefault="009949A5" w:rsidP="00EE406F">
      <w:pPr>
        <w:pStyle w:val="a5"/>
      </w:pPr>
      <w:r w:rsidRPr="00293204">
        <w:t>Рис</w:t>
      </w:r>
      <w:r w:rsidR="00293204" w:rsidRPr="00293204">
        <w:t>.</w:t>
      </w:r>
      <w:r w:rsidRPr="00293204">
        <w:t xml:space="preserve"> 1</w:t>
      </w:r>
      <w:r w:rsidR="000262FC" w:rsidRPr="000262FC">
        <w:t>1</w:t>
      </w:r>
      <w:r w:rsidRPr="00293204">
        <w:t>.</w:t>
      </w:r>
      <w:r w:rsidR="00EE69EA">
        <w:t>1</w:t>
      </w:r>
      <w:r w:rsidR="00793575">
        <w:t>2</w:t>
      </w:r>
      <w:r w:rsidR="00EE406F" w:rsidRPr="00EE406F">
        <w:t>.</w:t>
      </w:r>
      <w:r w:rsidR="00380F8D">
        <w:t xml:space="preserve"> </w:t>
      </w:r>
      <w:r w:rsidR="003B57DA">
        <w:t xml:space="preserve">Направления </w:t>
      </w:r>
      <w:r w:rsidRPr="00E45183">
        <w:t>использования отходов производства в 201</w:t>
      </w:r>
      <w:r>
        <w:t>5</w:t>
      </w:r>
      <w:r w:rsidRPr="00E45183">
        <w:t xml:space="preserve"> г.</w:t>
      </w:r>
      <w:r w:rsidR="00A65ED5">
        <w:t>, %.</w:t>
      </w:r>
    </w:p>
    <w:p w:rsidR="00293204" w:rsidRPr="00E45183" w:rsidRDefault="00293204" w:rsidP="00EE406F">
      <w:pPr>
        <w:pStyle w:val="a5"/>
      </w:pPr>
    </w:p>
    <w:p w:rsidR="009949A5" w:rsidRPr="000262FC" w:rsidRDefault="009949A5" w:rsidP="000262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FC">
        <w:rPr>
          <w:rFonts w:ascii="Times New Roman" w:hAnsi="Times New Roman" w:cs="Times New Roman"/>
          <w:sz w:val="24"/>
          <w:szCs w:val="24"/>
        </w:rPr>
        <w:t>Наиболее полно используются отходы растительного и животного происхождения за счет переработки отходов производства пищевых и вкусовых продуктов, отходов обработки и переработки древесины, отходов бумаги и картона. Отходы производства пищевых и вкусовых продуктов используются в сельском хозяйстве. Отходы обработки и переработки древесины передаются гидролизному заводу, сельскохозяйственным предприятиям, сжигаются для получения энергии.</w:t>
      </w:r>
    </w:p>
    <w:p w:rsidR="009949A5" w:rsidRPr="000262FC" w:rsidRDefault="009949A5" w:rsidP="000262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FC">
        <w:rPr>
          <w:rFonts w:ascii="Times New Roman" w:hAnsi="Times New Roman" w:cs="Times New Roman"/>
          <w:sz w:val="24"/>
          <w:szCs w:val="24"/>
        </w:rPr>
        <w:lastRenderedPageBreak/>
        <w:t>В общем объёме использования отходов минера</w:t>
      </w:r>
      <w:r w:rsidR="000262FC">
        <w:rPr>
          <w:rFonts w:ascii="Times New Roman" w:hAnsi="Times New Roman" w:cs="Times New Roman"/>
          <w:sz w:val="24"/>
          <w:szCs w:val="24"/>
        </w:rPr>
        <w:t>льного происхождения (6685</w:t>
      </w:r>
      <w:r w:rsidR="000262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262FC">
        <w:rPr>
          <w:rFonts w:ascii="Times New Roman" w:hAnsi="Times New Roman" w:cs="Times New Roman"/>
          <w:sz w:val="24"/>
          <w:szCs w:val="24"/>
        </w:rPr>
        <w:t>тыс.</w:t>
      </w:r>
      <w:r w:rsidR="000262F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262FC">
        <w:rPr>
          <w:rFonts w:ascii="Times New Roman" w:hAnsi="Times New Roman" w:cs="Times New Roman"/>
          <w:sz w:val="24"/>
          <w:szCs w:val="24"/>
        </w:rPr>
        <w:t xml:space="preserve">т) доля вскрышных пород в 2015 г. составляла 38,4% (2567 тыс. т). Вскрышные породы применяются для засыпки карьеров и восстановления нарушенных земель. </w:t>
      </w:r>
    </w:p>
    <w:p w:rsidR="009949A5" w:rsidRPr="000262FC" w:rsidRDefault="009949A5" w:rsidP="000262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262FC">
        <w:rPr>
          <w:rFonts w:ascii="Times New Roman" w:hAnsi="Times New Roman" w:cs="Times New Roman"/>
          <w:color w:val="auto"/>
        </w:rPr>
        <w:t>Высоким уровнем использования в блоке отходов минерального происхождения характеризуются металлургические шлаки, отходы формовочных смесей, железосодержащая пыль, окалина, отходы гальки кремниевой, отдельные виды строительных отходов и иное. Например, из 588,8 тыс. т образовавшегося в 2015 г. бетонных обломков, отходов бетона, железобетона использовано, передано и реализ</w:t>
      </w:r>
      <w:r w:rsidR="00F53FD4">
        <w:rPr>
          <w:rFonts w:ascii="Times New Roman" w:hAnsi="Times New Roman" w:cs="Times New Roman"/>
          <w:color w:val="auto"/>
        </w:rPr>
        <w:t>овано 580,8 тыс. т или свыше 98</w:t>
      </w:r>
      <w:r w:rsidRPr="000262FC">
        <w:rPr>
          <w:rFonts w:ascii="Times New Roman" w:hAnsi="Times New Roman" w:cs="Times New Roman"/>
          <w:color w:val="auto"/>
        </w:rPr>
        <w:t xml:space="preserve">%. Строительные отходы перерабатываются как на предприятиях, где они образуются, так и используются на рекультивацию карьеров, благоустройство </w:t>
      </w:r>
      <w:proofErr w:type="spellStart"/>
      <w:r w:rsidRPr="000262FC">
        <w:rPr>
          <w:rFonts w:ascii="Times New Roman" w:hAnsi="Times New Roman" w:cs="Times New Roman"/>
          <w:color w:val="auto"/>
        </w:rPr>
        <w:t>промплощадок</w:t>
      </w:r>
      <w:proofErr w:type="spellEnd"/>
      <w:r w:rsidRPr="000262FC">
        <w:rPr>
          <w:rFonts w:ascii="Times New Roman" w:hAnsi="Times New Roman" w:cs="Times New Roman"/>
          <w:color w:val="auto"/>
        </w:rPr>
        <w:t xml:space="preserve">, подсыпку дорог. </w:t>
      </w:r>
    </w:p>
    <w:p w:rsidR="009949A5" w:rsidRPr="000262FC" w:rsidRDefault="009949A5" w:rsidP="000262FC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pacing w:val="-4"/>
        </w:rPr>
      </w:pPr>
      <w:r w:rsidRPr="000262FC">
        <w:rPr>
          <w:rFonts w:ascii="Times New Roman" w:hAnsi="Times New Roman" w:cs="Times New Roman"/>
          <w:color w:val="auto"/>
        </w:rPr>
        <w:t xml:space="preserve">Высокий уровень использования отходов из блока химических производств характерен для резиносодержащих отходов, включая изношенные шины, (в 2015 г. на предприятиях Беларуси образовалось 50,6 тыс. </w:t>
      </w:r>
      <w:r w:rsidR="00F53FD4">
        <w:rPr>
          <w:rFonts w:ascii="Times New Roman" w:hAnsi="Times New Roman" w:cs="Times New Roman"/>
          <w:color w:val="auto"/>
        </w:rPr>
        <w:t>т, из них использовано свыше 90</w:t>
      </w:r>
      <w:r w:rsidRPr="000262FC">
        <w:rPr>
          <w:rFonts w:ascii="Times New Roman" w:hAnsi="Times New Roman" w:cs="Times New Roman"/>
          <w:color w:val="auto"/>
        </w:rPr>
        <w:t>% годового выхода); отходов пластмасс; отходов химических волокон и ни</w:t>
      </w:r>
      <w:r w:rsidR="00170828" w:rsidRPr="000262FC">
        <w:rPr>
          <w:rFonts w:ascii="Times New Roman" w:hAnsi="Times New Roman" w:cs="Times New Roman"/>
          <w:color w:val="auto"/>
        </w:rPr>
        <w:t xml:space="preserve">тей, кубовых остатков и иные. </w:t>
      </w:r>
      <w:r w:rsidRPr="000262FC">
        <w:rPr>
          <w:rFonts w:ascii="Times New Roman" w:hAnsi="Times New Roman" w:cs="Times New Roman"/>
        </w:rPr>
        <w:t xml:space="preserve">Другие виды отходов </w:t>
      </w:r>
      <w:r w:rsidR="00356CAC" w:rsidRPr="000262FC">
        <w:rPr>
          <w:rFonts w:ascii="Times New Roman" w:hAnsi="Times New Roman" w:cs="Times New Roman"/>
        </w:rPr>
        <w:t>использу</w:t>
      </w:r>
      <w:r w:rsidRPr="000262FC">
        <w:rPr>
          <w:rFonts w:ascii="Times New Roman" w:hAnsi="Times New Roman" w:cs="Times New Roman"/>
        </w:rPr>
        <w:t>ются в меньшей степени (рис.</w:t>
      </w:r>
      <w:r w:rsidR="00F9743C" w:rsidRPr="00F53FD4">
        <w:rPr>
          <w:rFonts w:ascii="Times New Roman" w:hAnsi="Times New Roman" w:cs="Times New Roman"/>
        </w:rPr>
        <w:t>1</w:t>
      </w:r>
      <w:r w:rsidR="000262FC" w:rsidRPr="00F53FD4">
        <w:rPr>
          <w:rFonts w:ascii="Times New Roman" w:hAnsi="Times New Roman" w:cs="Times New Roman"/>
        </w:rPr>
        <w:t>1</w:t>
      </w:r>
      <w:r w:rsidR="00F9743C" w:rsidRPr="000262FC">
        <w:rPr>
          <w:rFonts w:ascii="Times New Roman" w:hAnsi="Times New Roman" w:cs="Times New Roman"/>
        </w:rPr>
        <w:t>.</w:t>
      </w:r>
      <w:r w:rsidR="00393C8F" w:rsidRPr="000262FC">
        <w:rPr>
          <w:rFonts w:ascii="Times New Roman" w:hAnsi="Times New Roman" w:cs="Times New Roman"/>
        </w:rPr>
        <w:t>1</w:t>
      </w:r>
      <w:r w:rsidR="00040E78" w:rsidRPr="000262FC">
        <w:rPr>
          <w:rFonts w:ascii="Times New Roman" w:hAnsi="Times New Roman" w:cs="Times New Roman"/>
        </w:rPr>
        <w:t>3</w:t>
      </w:r>
      <w:r w:rsidRPr="000262FC">
        <w:rPr>
          <w:rFonts w:ascii="Times New Roman" w:hAnsi="Times New Roman" w:cs="Times New Roman"/>
        </w:rPr>
        <w:t xml:space="preserve">). </w:t>
      </w:r>
    </w:p>
    <w:p w:rsidR="009949A5" w:rsidRDefault="009949A5" w:rsidP="009949A5">
      <w:pPr>
        <w:pStyle w:val="21"/>
        <w:spacing w:line="360" w:lineRule="auto"/>
        <w:jc w:val="center"/>
      </w:pPr>
    </w:p>
    <w:p w:rsidR="009949A5" w:rsidRPr="002D63F2" w:rsidRDefault="009949A5" w:rsidP="009949A5">
      <w:pPr>
        <w:pStyle w:val="21"/>
        <w:spacing w:line="360" w:lineRule="auto"/>
        <w:rPr>
          <w:spacing w:val="-4"/>
        </w:rPr>
      </w:pPr>
      <w:r>
        <w:rPr>
          <w:noProof/>
          <w:spacing w:val="-4"/>
        </w:rPr>
        <w:drawing>
          <wp:inline distT="0" distB="0" distL="0" distR="0">
            <wp:extent cx="4267200" cy="3495675"/>
            <wp:effectExtent l="0" t="0" r="0" b="0"/>
            <wp:docPr id="2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949A5" w:rsidRPr="00F9743C" w:rsidRDefault="009949A5" w:rsidP="00CC3D48">
      <w:pPr>
        <w:suppressAutoHyphens/>
        <w:spacing w:after="0" w:line="240" w:lineRule="auto"/>
        <w:ind w:right="680"/>
        <w:rPr>
          <w:rFonts w:ascii="Times New Roman" w:hAnsi="Times New Roman" w:cs="Times New Roman"/>
        </w:rPr>
      </w:pPr>
      <w:r w:rsidRPr="00F9743C">
        <w:rPr>
          <w:rFonts w:ascii="Times New Roman" w:hAnsi="Times New Roman" w:cs="Times New Roman"/>
        </w:rPr>
        <w:t xml:space="preserve">1 – отходы минерального происхождения; </w:t>
      </w:r>
    </w:p>
    <w:p w:rsidR="009949A5" w:rsidRPr="00F9743C" w:rsidRDefault="009949A5" w:rsidP="00CC3D48">
      <w:pPr>
        <w:suppressAutoHyphens/>
        <w:spacing w:after="0" w:line="240" w:lineRule="auto"/>
        <w:ind w:right="680"/>
        <w:rPr>
          <w:rFonts w:ascii="Times New Roman" w:hAnsi="Times New Roman" w:cs="Times New Roman"/>
        </w:rPr>
      </w:pPr>
      <w:r w:rsidRPr="00F9743C">
        <w:rPr>
          <w:rFonts w:ascii="Times New Roman" w:hAnsi="Times New Roman" w:cs="Times New Roman"/>
        </w:rPr>
        <w:t xml:space="preserve">2 – отходы животного и растительного происхождения; </w:t>
      </w:r>
    </w:p>
    <w:p w:rsidR="009949A5" w:rsidRPr="00F9743C" w:rsidRDefault="009949A5" w:rsidP="00CC3D48">
      <w:pPr>
        <w:suppressAutoHyphens/>
        <w:spacing w:after="0" w:line="240" w:lineRule="auto"/>
        <w:ind w:right="680"/>
        <w:rPr>
          <w:rFonts w:ascii="Times New Roman" w:hAnsi="Times New Roman" w:cs="Times New Roman"/>
        </w:rPr>
      </w:pPr>
      <w:r w:rsidRPr="00F9743C">
        <w:rPr>
          <w:rFonts w:ascii="Times New Roman" w:hAnsi="Times New Roman" w:cs="Times New Roman"/>
        </w:rPr>
        <w:t>3 – отходы (осадки) водоподготовки котельно</w:t>
      </w:r>
      <w:r w:rsidR="008F1068">
        <w:rPr>
          <w:rFonts w:ascii="Times New Roman" w:hAnsi="Times New Roman" w:cs="Times New Roman"/>
        </w:rPr>
        <w:t>–</w:t>
      </w:r>
      <w:r w:rsidRPr="00F9743C">
        <w:rPr>
          <w:rFonts w:ascii="Times New Roman" w:hAnsi="Times New Roman" w:cs="Times New Roman"/>
        </w:rPr>
        <w:t xml:space="preserve">теплового хозяйства и питьевой воды, очистки сточных, дождевых вод и использования воды на электростанциях; </w:t>
      </w:r>
    </w:p>
    <w:p w:rsidR="009949A5" w:rsidRPr="00F9743C" w:rsidRDefault="009949A5" w:rsidP="00CC3D48">
      <w:pPr>
        <w:suppressAutoHyphens/>
        <w:spacing w:after="0" w:line="240" w:lineRule="auto"/>
        <w:ind w:right="680"/>
        <w:rPr>
          <w:rFonts w:ascii="Times New Roman" w:hAnsi="Times New Roman" w:cs="Times New Roman"/>
        </w:rPr>
      </w:pPr>
      <w:r w:rsidRPr="00F9743C">
        <w:rPr>
          <w:rFonts w:ascii="Times New Roman" w:hAnsi="Times New Roman" w:cs="Times New Roman"/>
        </w:rPr>
        <w:t xml:space="preserve">4 </w:t>
      </w:r>
      <w:r w:rsidR="008F1068">
        <w:rPr>
          <w:rFonts w:ascii="Times New Roman" w:hAnsi="Times New Roman" w:cs="Times New Roman"/>
        </w:rPr>
        <w:t>–</w:t>
      </w:r>
      <w:r w:rsidRPr="00F9743C">
        <w:rPr>
          <w:rFonts w:ascii="Times New Roman" w:hAnsi="Times New Roman" w:cs="Times New Roman"/>
        </w:rPr>
        <w:t xml:space="preserve"> отходы жизнедеятельности населения и подобные им отходы производства; </w:t>
      </w:r>
    </w:p>
    <w:p w:rsidR="009949A5" w:rsidRPr="00F9743C" w:rsidRDefault="009949A5" w:rsidP="00CC3D48">
      <w:pPr>
        <w:suppressAutoHyphens/>
        <w:spacing w:after="0" w:line="240" w:lineRule="auto"/>
        <w:ind w:right="680"/>
        <w:rPr>
          <w:rFonts w:ascii="Times New Roman" w:hAnsi="Times New Roman" w:cs="Times New Roman"/>
        </w:rPr>
      </w:pPr>
      <w:r w:rsidRPr="00F9743C">
        <w:rPr>
          <w:rFonts w:ascii="Times New Roman" w:hAnsi="Times New Roman" w:cs="Times New Roman"/>
        </w:rPr>
        <w:t xml:space="preserve">5 – отходы химических производств и производств, связанных, с ними; </w:t>
      </w:r>
    </w:p>
    <w:p w:rsidR="009949A5" w:rsidRPr="00F9743C" w:rsidRDefault="009949A5" w:rsidP="00CC3D48">
      <w:pPr>
        <w:suppressAutoHyphens/>
        <w:spacing w:after="0" w:line="240" w:lineRule="auto"/>
        <w:ind w:right="680"/>
        <w:rPr>
          <w:rFonts w:ascii="Times New Roman" w:hAnsi="Times New Roman" w:cs="Times New Roman"/>
        </w:rPr>
      </w:pPr>
      <w:r w:rsidRPr="00F9743C">
        <w:rPr>
          <w:rFonts w:ascii="Times New Roman" w:hAnsi="Times New Roman" w:cs="Times New Roman"/>
        </w:rPr>
        <w:t>6 – медицинские отходы</w:t>
      </w:r>
    </w:p>
    <w:p w:rsidR="009949A5" w:rsidRPr="00F9743C" w:rsidRDefault="009949A5" w:rsidP="00CC3D48">
      <w:pPr>
        <w:suppressAutoHyphens/>
        <w:ind w:left="567" w:right="680"/>
        <w:jc w:val="center"/>
        <w:rPr>
          <w:rFonts w:ascii="Times New Roman" w:hAnsi="Times New Roman" w:cs="Times New Roman"/>
          <w:b/>
        </w:rPr>
      </w:pPr>
      <w:r w:rsidRPr="00EE406F">
        <w:rPr>
          <w:rFonts w:ascii="Times New Roman" w:hAnsi="Times New Roman" w:cs="Times New Roman"/>
          <w:b/>
        </w:rPr>
        <w:t>Рис</w:t>
      </w:r>
      <w:r w:rsidR="00293204" w:rsidRPr="00EE406F">
        <w:rPr>
          <w:rFonts w:ascii="Times New Roman" w:hAnsi="Times New Roman" w:cs="Times New Roman"/>
          <w:b/>
        </w:rPr>
        <w:t>.</w:t>
      </w:r>
      <w:r w:rsidR="00CC3D48" w:rsidRPr="00EE406F">
        <w:rPr>
          <w:rFonts w:ascii="Times New Roman" w:hAnsi="Times New Roman" w:cs="Times New Roman"/>
          <w:b/>
        </w:rPr>
        <w:t>1</w:t>
      </w:r>
      <w:r w:rsidR="000262FC" w:rsidRPr="00EE406F">
        <w:rPr>
          <w:rFonts w:ascii="Times New Roman" w:hAnsi="Times New Roman" w:cs="Times New Roman"/>
          <w:b/>
        </w:rPr>
        <w:t>1</w:t>
      </w:r>
      <w:r w:rsidR="00CC3D48" w:rsidRPr="00EE406F">
        <w:rPr>
          <w:rFonts w:ascii="Times New Roman" w:hAnsi="Times New Roman" w:cs="Times New Roman"/>
          <w:b/>
        </w:rPr>
        <w:t>.</w:t>
      </w:r>
      <w:r w:rsidR="00393C8F" w:rsidRPr="00EE406F">
        <w:rPr>
          <w:rFonts w:ascii="Times New Roman" w:hAnsi="Times New Roman" w:cs="Times New Roman"/>
          <w:b/>
        </w:rPr>
        <w:t>1</w:t>
      </w:r>
      <w:r w:rsidR="00040E78" w:rsidRPr="00EE406F">
        <w:rPr>
          <w:rFonts w:ascii="Times New Roman" w:hAnsi="Times New Roman" w:cs="Times New Roman"/>
          <w:b/>
        </w:rPr>
        <w:t>3</w:t>
      </w:r>
      <w:r w:rsidR="00EE406F" w:rsidRPr="00EE406F">
        <w:rPr>
          <w:rFonts w:ascii="Times New Roman" w:hAnsi="Times New Roman" w:cs="Times New Roman"/>
          <w:b/>
        </w:rPr>
        <w:t>.</w:t>
      </w:r>
      <w:r w:rsidRPr="00F9743C">
        <w:rPr>
          <w:rFonts w:ascii="Times New Roman" w:hAnsi="Times New Roman" w:cs="Times New Roman"/>
          <w:b/>
        </w:rPr>
        <w:t xml:space="preserve"> Соотношение объемов образовавшихся и неиспользованных отходов производства различных видов в 2015 г. (без учета крупнотоннажных отходов).</w:t>
      </w:r>
    </w:p>
    <w:p w:rsidR="00356CAC" w:rsidRPr="000262FC" w:rsidRDefault="009949A5" w:rsidP="000262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FC">
        <w:rPr>
          <w:rFonts w:ascii="Times New Roman" w:hAnsi="Times New Roman" w:cs="Times New Roman"/>
          <w:sz w:val="24"/>
          <w:szCs w:val="24"/>
        </w:rPr>
        <w:t xml:space="preserve">К отходам минерального происхождения с низким уровнем использования либо неиспользуемым следует отнести землю формовочную горелую, золы и шлаки сжигания </w:t>
      </w:r>
      <w:r w:rsidRPr="000262FC">
        <w:rPr>
          <w:rFonts w:ascii="Times New Roman" w:hAnsi="Times New Roman" w:cs="Times New Roman"/>
          <w:sz w:val="24"/>
          <w:szCs w:val="24"/>
        </w:rPr>
        <w:lastRenderedPageBreak/>
        <w:t>отходов и топочных установок, отходы фасонно</w:t>
      </w:r>
      <w:r w:rsidR="008F1068" w:rsidRPr="000262FC">
        <w:rPr>
          <w:rFonts w:ascii="Times New Roman" w:hAnsi="Times New Roman" w:cs="Times New Roman"/>
          <w:sz w:val="24"/>
          <w:szCs w:val="24"/>
        </w:rPr>
        <w:t>–</w:t>
      </w:r>
      <w:r w:rsidRPr="000262FC">
        <w:rPr>
          <w:rFonts w:ascii="Times New Roman" w:hAnsi="Times New Roman" w:cs="Times New Roman"/>
          <w:sz w:val="24"/>
          <w:szCs w:val="24"/>
        </w:rPr>
        <w:t xml:space="preserve">литейных цехов, шлифовальных и полировальных материалов, металлические шламы, минеральные остатки от газоочистки, отходы изделий теплоизоляционных асбестосодержащих, песок загрязненный органическими и неорганическими веществами, бой шифера и иное. Практически не используются отходы жизнедеятельности населения и подобные им отходы производства. </w:t>
      </w:r>
    </w:p>
    <w:p w:rsidR="00860806" w:rsidRPr="000262FC" w:rsidRDefault="009949A5" w:rsidP="000262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62FC">
        <w:rPr>
          <w:rFonts w:ascii="Times New Roman" w:hAnsi="Times New Roman" w:cs="Times New Roman"/>
          <w:sz w:val="24"/>
          <w:szCs w:val="24"/>
        </w:rPr>
        <w:t>Среди вывозимых на захоронение преобладают отходы производства, подобные отходам жизнедеятельности населения, отходы от уборки территорий промышленных предприятий, а также отходы минерального происхождения в виде отходов литейно</w:t>
      </w:r>
      <w:r w:rsidR="008F1068" w:rsidRPr="000262FC">
        <w:rPr>
          <w:rFonts w:ascii="Times New Roman" w:hAnsi="Times New Roman" w:cs="Times New Roman"/>
          <w:sz w:val="24"/>
          <w:szCs w:val="24"/>
        </w:rPr>
        <w:t>–</w:t>
      </w:r>
      <w:r w:rsidRPr="000262FC">
        <w:rPr>
          <w:rFonts w:ascii="Times New Roman" w:hAnsi="Times New Roman" w:cs="Times New Roman"/>
          <w:sz w:val="24"/>
          <w:szCs w:val="24"/>
        </w:rPr>
        <w:t xml:space="preserve">фасонных цехов, различных строительных отходов и лома огнеупорных изделий, отходов сухой уборки гаражей, автостоянок, мест парковки транспорта, </w:t>
      </w:r>
      <w:proofErr w:type="gramEnd"/>
    </w:p>
    <w:p w:rsidR="00B744AA" w:rsidRPr="000262FC" w:rsidRDefault="00B744AA" w:rsidP="000262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262FC">
        <w:rPr>
          <w:rFonts w:ascii="Times New Roman" w:hAnsi="Times New Roman" w:cs="Times New Roman"/>
          <w:b/>
          <w:bCs/>
          <w:i/>
          <w:iCs/>
        </w:rPr>
        <w:t xml:space="preserve">Использование коммунальных отходов </w:t>
      </w:r>
    </w:p>
    <w:p w:rsidR="000035B9" w:rsidRPr="000262FC" w:rsidRDefault="00B744AA" w:rsidP="00F02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FC">
        <w:rPr>
          <w:rFonts w:ascii="Times New Roman" w:hAnsi="Times New Roman" w:cs="Times New Roman"/>
          <w:sz w:val="24"/>
          <w:szCs w:val="24"/>
        </w:rPr>
        <w:t>Одной из самых важных п</w:t>
      </w:r>
      <w:r w:rsidR="000F63AF" w:rsidRPr="000262FC">
        <w:rPr>
          <w:rFonts w:ascii="Times New Roman" w:hAnsi="Times New Roman" w:cs="Times New Roman"/>
          <w:sz w:val="24"/>
          <w:szCs w:val="24"/>
        </w:rPr>
        <w:t>роблем в области обращения с от</w:t>
      </w:r>
      <w:r w:rsidRPr="000262FC">
        <w:rPr>
          <w:rFonts w:ascii="Times New Roman" w:hAnsi="Times New Roman" w:cs="Times New Roman"/>
          <w:sz w:val="24"/>
          <w:szCs w:val="24"/>
        </w:rPr>
        <w:t>ходами является их использова</w:t>
      </w:r>
      <w:r w:rsidR="000F63AF" w:rsidRPr="000262FC">
        <w:rPr>
          <w:rFonts w:ascii="Times New Roman" w:hAnsi="Times New Roman" w:cs="Times New Roman"/>
          <w:sz w:val="24"/>
          <w:szCs w:val="24"/>
        </w:rPr>
        <w:t>ние в качестве вторичных матери</w:t>
      </w:r>
      <w:r w:rsidRPr="000262FC">
        <w:rPr>
          <w:rFonts w:ascii="Times New Roman" w:hAnsi="Times New Roman" w:cs="Times New Roman"/>
          <w:sz w:val="24"/>
          <w:szCs w:val="24"/>
        </w:rPr>
        <w:t>альных ресурсов (ВМР). Исходя из состава коммунальных отходов и процентного содержания в них ВМР, потребность во вторичном сырье перерабатывающих пре</w:t>
      </w:r>
      <w:r w:rsidR="000F63AF" w:rsidRPr="000262FC">
        <w:rPr>
          <w:rFonts w:ascii="Times New Roman" w:hAnsi="Times New Roman" w:cs="Times New Roman"/>
          <w:sz w:val="24"/>
          <w:szCs w:val="24"/>
        </w:rPr>
        <w:t>дприятий может быть удовлетворе</w:t>
      </w:r>
      <w:r w:rsidRPr="000262FC">
        <w:rPr>
          <w:rFonts w:ascii="Times New Roman" w:hAnsi="Times New Roman" w:cs="Times New Roman"/>
          <w:sz w:val="24"/>
          <w:szCs w:val="24"/>
        </w:rPr>
        <w:t xml:space="preserve">на полностью. </w:t>
      </w:r>
    </w:p>
    <w:p w:rsidR="00B744AA" w:rsidRPr="00A06C15" w:rsidRDefault="000035B9" w:rsidP="005D65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FC">
        <w:rPr>
          <w:rFonts w:ascii="Times New Roman" w:hAnsi="Times New Roman" w:cs="Times New Roman"/>
          <w:sz w:val="24"/>
          <w:szCs w:val="24"/>
        </w:rPr>
        <w:t xml:space="preserve">В 2015 г. сбор основных традиционных видов вторичных материальных ресурсов (отходы бумаги и картона, отходы стекла, полимерные, текстильные отходы, отходы изношенных шин) составил 593,1 тыс. тонн </w:t>
      </w:r>
      <w:r w:rsidR="00B744AA" w:rsidRPr="000262FC">
        <w:rPr>
          <w:rFonts w:ascii="Times New Roman" w:hAnsi="Times New Roman" w:cs="Times New Roman"/>
          <w:sz w:val="24"/>
          <w:szCs w:val="24"/>
        </w:rPr>
        <w:t>(табл. 1</w:t>
      </w:r>
      <w:r w:rsidR="00256F56">
        <w:rPr>
          <w:rFonts w:ascii="Times New Roman" w:hAnsi="Times New Roman" w:cs="Times New Roman"/>
          <w:sz w:val="24"/>
          <w:szCs w:val="24"/>
        </w:rPr>
        <w:t>1</w:t>
      </w:r>
      <w:r w:rsidR="00B744AA" w:rsidRPr="000262FC">
        <w:rPr>
          <w:rFonts w:ascii="Times New Roman" w:hAnsi="Times New Roman" w:cs="Times New Roman"/>
          <w:sz w:val="24"/>
          <w:szCs w:val="24"/>
        </w:rPr>
        <w:t>.</w:t>
      </w:r>
      <w:r w:rsidR="00F97D61" w:rsidRPr="000262FC">
        <w:rPr>
          <w:rFonts w:ascii="Times New Roman" w:hAnsi="Times New Roman" w:cs="Times New Roman"/>
          <w:sz w:val="24"/>
          <w:szCs w:val="24"/>
        </w:rPr>
        <w:t>3</w:t>
      </w:r>
      <w:r w:rsidR="00B744AA" w:rsidRPr="000262FC">
        <w:rPr>
          <w:rFonts w:ascii="Times New Roman" w:hAnsi="Times New Roman" w:cs="Times New Roman"/>
          <w:sz w:val="24"/>
          <w:szCs w:val="24"/>
        </w:rPr>
        <w:t xml:space="preserve">), что на </w:t>
      </w:r>
      <w:r w:rsidR="008831E1" w:rsidRPr="000262FC">
        <w:rPr>
          <w:rFonts w:ascii="Times New Roman" w:hAnsi="Times New Roman" w:cs="Times New Roman"/>
          <w:sz w:val="24"/>
          <w:szCs w:val="24"/>
        </w:rPr>
        <w:t>7</w:t>
      </w:r>
      <w:r w:rsidR="00B744AA" w:rsidRPr="000262FC">
        <w:rPr>
          <w:rFonts w:ascii="Times New Roman" w:hAnsi="Times New Roman" w:cs="Times New Roman"/>
          <w:sz w:val="24"/>
          <w:szCs w:val="24"/>
        </w:rPr>
        <w:t>% больше, чем в 201</w:t>
      </w:r>
      <w:r w:rsidR="00CC3D48" w:rsidRPr="000262FC">
        <w:rPr>
          <w:rFonts w:ascii="Times New Roman" w:hAnsi="Times New Roman" w:cs="Times New Roman"/>
          <w:sz w:val="24"/>
          <w:szCs w:val="24"/>
        </w:rPr>
        <w:t>4</w:t>
      </w:r>
      <w:r w:rsidR="00B744AA" w:rsidRPr="000262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44AA" w:rsidRPr="000262FC" w:rsidRDefault="00B744AA" w:rsidP="000F63A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262FC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Таблица 1</w:t>
      </w:r>
      <w:r w:rsidR="000262FC" w:rsidRPr="00A06C15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0262FC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F97D61" w:rsidRPr="000262FC"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</w:p>
    <w:p w:rsidR="00B744AA" w:rsidRPr="000262FC" w:rsidRDefault="00B744AA" w:rsidP="000F63AF">
      <w:pPr>
        <w:jc w:val="center"/>
        <w:rPr>
          <w:rFonts w:ascii="Times New Roman" w:hAnsi="Times New Roman" w:cs="Times New Roman"/>
          <w:b/>
          <w:bCs/>
        </w:rPr>
      </w:pPr>
      <w:r w:rsidRPr="000262FC">
        <w:rPr>
          <w:rFonts w:ascii="Times New Roman" w:hAnsi="Times New Roman" w:cs="Times New Roman"/>
          <w:b/>
          <w:bCs/>
        </w:rPr>
        <w:t>Заготовка вторичных материальных ресурсов в 201</w:t>
      </w:r>
      <w:r w:rsidR="00CC3D48" w:rsidRPr="000262FC">
        <w:rPr>
          <w:rFonts w:ascii="Times New Roman" w:hAnsi="Times New Roman" w:cs="Times New Roman"/>
          <w:b/>
          <w:bCs/>
        </w:rPr>
        <w:t>5</w:t>
      </w:r>
      <w:r w:rsidRPr="000262FC">
        <w:rPr>
          <w:rFonts w:ascii="Times New Roman" w:hAnsi="Times New Roman" w:cs="Times New Roman"/>
          <w:b/>
          <w:bCs/>
        </w:rPr>
        <w:t xml:space="preserve"> г., тыс.</w:t>
      </w:r>
      <w:r w:rsidR="00380F8D" w:rsidRPr="000262FC">
        <w:rPr>
          <w:rFonts w:ascii="Times New Roman" w:hAnsi="Times New Roman" w:cs="Times New Roman"/>
          <w:b/>
          <w:bCs/>
        </w:rPr>
        <w:t xml:space="preserve"> </w:t>
      </w:r>
      <w:r w:rsidRPr="000262FC">
        <w:rPr>
          <w:rFonts w:ascii="Times New Roman" w:hAnsi="Times New Roman" w:cs="Times New Roman"/>
          <w:b/>
          <w:bCs/>
        </w:rPr>
        <w:t>т</w:t>
      </w:r>
    </w:p>
    <w:tbl>
      <w:tblPr>
        <w:tblStyle w:val="aff2"/>
        <w:tblW w:w="0" w:type="auto"/>
        <w:jc w:val="center"/>
        <w:tblInd w:w="1173" w:type="dxa"/>
        <w:tblLook w:val="04A0" w:firstRow="1" w:lastRow="0" w:firstColumn="1" w:lastColumn="0" w:noHBand="0" w:noVBand="1"/>
      </w:tblPr>
      <w:tblGrid>
        <w:gridCol w:w="3229"/>
        <w:gridCol w:w="2925"/>
      </w:tblGrid>
      <w:tr w:rsidR="00422AE0" w:rsidTr="000262FC">
        <w:trPr>
          <w:trHeight w:val="256"/>
          <w:jc w:val="center"/>
        </w:trPr>
        <w:tc>
          <w:tcPr>
            <w:tcW w:w="3229" w:type="dxa"/>
          </w:tcPr>
          <w:p w:rsidR="00422AE0" w:rsidRPr="00422AE0" w:rsidRDefault="00422AE0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AE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</w:t>
            </w:r>
          </w:p>
        </w:tc>
        <w:tc>
          <w:tcPr>
            <w:tcW w:w="2925" w:type="dxa"/>
          </w:tcPr>
          <w:p w:rsidR="00422AE0" w:rsidRPr="00422AE0" w:rsidRDefault="00422AE0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Заготовлено ВМР</w:t>
            </w:r>
          </w:p>
        </w:tc>
      </w:tr>
      <w:tr w:rsidR="00422AE0" w:rsidTr="000262FC">
        <w:trPr>
          <w:trHeight w:val="256"/>
          <w:jc w:val="center"/>
        </w:trPr>
        <w:tc>
          <w:tcPr>
            <w:tcW w:w="3229" w:type="dxa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Брестская</w:t>
            </w:r>
          </w:p>
        </w:tc>
        <w:tc>
          <w:tcPr>
            <w:tcW w:w="2925" w:type="dxa"/>
          </w:tcPr>
          <w:p w:rsidR="00422AE0" w:rsidRPr="00422AE0" w:rsidRDefault="008831E1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76,5</w:t>
            </w:r>
          </w:p>
        </w:tc>
      </w:tr>
      <w:tr w:rsidR="00422AE0" w:rsidTr="000262FC">
        <w:trPr>
          <w:trHeight w:val="256"/>
          <w:jc w:val="center"/>
        </w:trPr>
        <w:tc>
          <w:tcPr>
            <w:tcW w:w="3229" w:type="dxa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Витебская</w:t>
            </w:r>
          </w:p>
        </w:tc>
        <w:tc>
          <w:tcPr>
            <w:tcW w:w="2925" w:type="dxa"/>
          </w:tcPr>
          <w:p w:rsidR="00422AE0" w:rsidRPr="00422AE0" w:rsidRDefault="008831E1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66,6</w:t>
            </w:r>
          </w:p>
        </w:tc>
      </w:tr>
      <w:tr w:rsidR="00422AE0" w:rsidTr="000262FC">
        <w:trPr>
          <w:trHeight w:val="256"/>
          <w:jc w:val="center"/>
        </w:trPr>
        <w:tc>
          <w:tcPr>
            <w:tcW w:w="3229" w:type="dxa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</w:t>
            </w:r>
          </w:p>
        </w:tc>
        <w:tc>
          <w:tcPr>
            <w:tcW w:w="2925" w:type="dxa"/>
          </w:tcPr>
          <w:p w:rsidR="00422AE0" w:rsidRPr="00422AE0" w:rsidRDefault="008831E1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422AE0" w:rsidTr="000262FC">
        <w:trPr>
          <w:trHeight w:val="256"/>
          <w:jc w:val="center"/>
        </w:trPr>
        <w:tc>
          <w:tcPr>
            <w:tcW w:w="3229" w:type="dxa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Гродненская</w:t>
            </w:r>
          </w:p>
        </w:tc>
        <w:tc>
          <w:tcPr>
            <w:tcW w:w="2925" w:type="dxa"/>
          </w:tcPr>
          <w:p w:rsidR="00422AE0" w:rsidRPr="00422AE0" w:rsidRDefault="008831E1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58,5</w:t>
            </w:r>
          </w:p>
        </w:tc>
      </w:tr>
      <w:tr w:rsidR="00422AE0" w:rsidTr="000262FC">
        <w:trPr>
          <w:trHeight w:val="256"/>
          <w:jc w:val="center"/>
        </w:trPr>
        <w:tc>
          <w:tcPr>
            <w:tcW w:w="3229" w:type="dxa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38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Минск</w:t>
            </w:r>
          </w:p>
        </w:tc>
        <w:tc>
          <w:tcPr>
            <w:tcW w:w="2925" w:type="dxa"/>
          </w:tcPr>
          <w:p w:rsidR="00422AE0" w:rsidRPr="00422AE0" w:rsidRDefault="008831E1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158,5</w:t>
            </w:r>
          </w:p>
        </w:tc>
      </w:tr>
      <w:tr w:rsidR="00422AE0" w:rsidTr="000262FC">
        <w:trPr>
          <w:trHeight w:val="256"/>
          <w:jc w:val="center"/>
        </w:trPr>
        <w:tc>
          <w:tcPr>
            <w:tcW w:w="3229" w:type="dxa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Минская</w:t>
            </w:r>
          </w:p>
        </w:tc>
        <w:tc>
          <w:tcPr>
            <w:tcW w:w="2925" w:type="dxa"/>
          </w:tcPr>
          <w:p w:rsidR="00422AE0" w:rsidRPr="00422AE0" w:rsidRDefault="008831E1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66,2</w:t>
            </w:r>
          </w:p>
        </w:tc>
      </w:tr>
      <w:tr w:rsidR="00422AE0" w:rsidTr="000262FC">
        <w:trPr>
          <w:trHeight w:val="256"/>
          <w:jc w:val="center"/>
        </w:trPr>
        <w:tc>
          <w:tcPr>
            <w:tcW w:w="3229" w:type="dxa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Могилевская</w:t>
            </w:r>
          </w:p>
        </w:tc>
        <w:tc>
          <w:tcPr>
            <w:tcW w:w="2925" w:type="dxa"/>
          </w:tcPr>
          <w:p w:rsidR="00422AE0" w:rsidRPr="00422AE0" w:rsidRDefault="008831E1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74,9</w:t>
            </w:r>
          </w:p>
        </w:tc>
      </w:tr>
      <w:tr w:rsidR="00422AE0" w:rsidTr="000262FC">
        <w:trPr>
          <w:trHeight w:val="270"/>
          <w:jc w:val="center"/>
        </w:trPr>
        <w:tc>
          <w:tcPr>
            <w:tcW w:w="3229" w:type="dxa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925" w:type="dxa"/>
          </w:tcPr>
          <w:p w:rsidR="00422AE0" w:rsidRPr="00422AE0" w:rsidRDefault="008831E1" w:rsidP="000F63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593,1</w:t>
            </w:r>
          </w:p>
        </w:tc>
      </w:tr>
    </w:tbl>
    <w:p w:rsidR="00040E78" w:rsidRDefault="00040E78" w:rsidP="000035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53D4" w:rsidRPr="000262FC" w:rsidRDefault="00A853D4" w:rsidP="00F02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2FC">
        <w:rPr>
          <w:rFonts w:ascii="Times New Roman" w:hAnsi="Times New Roman" w:cs="Times New Roman"/>
          <w:color w:val="000000"/>
          <w:sz w:val="24"/>
          <w:szCs w:val="24"/>
        </w:rPr>
        <w:t>Функционирующая в настоящее время система сбора ВМР включает в себя около 400 организаций жилищно</w:t>
      </w:r>
      <w:r w:rsidR="008F1068" w:rsidRPr="000262F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262FC">
        <w:rPr>
          <w:rFonts w:ascii="Times New Roman" w:hAnsi="Times New Roman" w:cs="Times New Roman"/>
          <w:color w:val="000000"/>
          <w:sz w:val="24"/>
          <w:szCs w:val="24"/>
        </w:rPr>
        <w:t>коммунального хозяйства, потребительской кооперации, организаций ГО «</w:t>
      </w:r>
      <w:proofErr w:type="spellStart"/>
      <w:r w:rsidRPr="000262FC">
        <w:rPr>
          <w:rFonts w:ascii="Times New Roman" w:hAnsi="Times New Roman" w:cs="Times New Roman"/>
          <w:color w:val="000000"/>
          <w:sz w:val="24"/>
          <w:szCs w:val="24"/>
        </w:rPr>
        <w:t>Белресурсы</w:t>
      </w:r>
      <w:proofErr w:type="spellEnd"/>
      <w:r w:rsidRPr="000262FC">
        <w:rPr>
          <w:rFonts w:ascii="Times New Roman" w:hAnsi="Times New Roman" w:cs="Times New Roman"/>
          <w:color w:val="000000"/>
          <w:sz w:val="24"/>
          <w:szCs w:val="24"/>
        </w:rPr>
        <w:t>», организаций без ведомственной подчиненности, индивидуальных предпринимателей. В их числе организаций жилищно</w:t>
      </w:r>
      <w:r w:rsidR="008F1068" w:rsidRPr="000262F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262FC">
        <w:rPr>
          <w:rFonts w:ascii="Times New Roman" w:hAnsi="Times New Roman" w:cs="Times New Roman"/>
          <w:color w:val="000000"/>
          <w:sz w:val="24"/>
          <w:szCs w:val="24"/>
        </w:rPr>
        <w:t>коммунального хозяйства – около 150, организаций потребительской кооперации – более 100.</w:t>
      </w:r>
    </w:p>
    <w:p w:rsidR="00B744AA" w:rsidRDefault="00B744AA" w:rsidP="00F02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2FC">
        <w:rPr>
          <w:rFonts w:ascii="Times New Roman" w:hAnsi="Times New Roman" w:cs="Times New Roman"/>
          <w:sz w:val="24"/>
          <w:szCs w:val="24"/>
        </w:rPr>
        <w:t>Традиционной формой извлечения ВМР из состава отходов является заготовительная система потребительской кооперации, которая занимает лидирующее положение по сбору макулатуры, тряпья и стекла. Это наиболе</w:t>
      </w:r>
      <w:r w:rsidR="000F63AF" w:rsidRPr="000262FC">
        <w:rPr>
          <w:rFonts w:ascii="Times New Roman" w:hAnsi="Times New Roman" w:cs="Times New Roman"/>
          <w:sz w:val="24"/>
          <w:szCs w:val="24"/>
        </w:rPr>
        <w:t>е распространенные ВМР для насе</w:t>
      </w:r>
      <w:r w:rsidRPr="000262FC">
        <w:rPr>
          <w:rFonts w:ascii="Times New Roman" w:hAnsi="Times New Roman" w:cs="Times New Roman"/>
          <w:sz w:val="24"/>
          <w:szCs w:val="24"/>
        </w:rPr>
        <w:t>ления с точки зрения закупочных</w:t>
      </w:r>
      <w:r w:rsidR="000F63AF" w:rsidRPr="000262FC">
        <w:rPr>
          <w:rFonts w:ascii="Times New Roman" w:hAnsi="Times New Roman" w:cs="Times New Roman"/>
          <w:sz w:val="24"/>
          <w:szCs w:val="24"/>
        </w:rPr>
        <w:t xml:space="preserve"> цен. Данные по объемам заготов</w:t>
      </w:r>
      <w:r w:rsidRPr="000262FC">
        <w:rPr>
          <w:rFonts w:ascii="Times New Roman" w:hAnsi="Times New Roman" w:cs="Times New Roman"/>
          <w:sz w:val="24"/>
          <w:szCs w:val="24"/>
        </w:rPr>
        <w:t>ки ВМР в 201</w:t>
      </w:r>
      <w:r w:rsidR="00CC3D48" w:rsidRPr="000262FC">
        <w:rPr>
          <w:rFonts w:ascii="Times New Roman" w:hAnsi="Times New Roman" w:cs="Times New Roman"/>
          <w:sz w:val="24"/>
          <w:szCs w:val="24"/>
        </w:rPr>
        <w:t>5</w:t>
      </w:r>
      <w:r w:rsidR="004741FD">
        <w:rPr>
          <w:rFonts w:ascii="Times New Roman" w:hAnsi="Times New Roman" w:cs="Times New Roman"/>
          <w:sz w:val="24"/>
          <w:szCs w:val="24"/>
        </w:rPr>
        <w:t> </w:t>
      </w:r>
      <w:r w:rsidRPr="000262FC">
        <w:rPr>
          <w:rFonts w:ascii="Times New Roman" w:hAnsi="Times New Roman" w:cs="Times New Roman"/>
          <w:sz w:val="24"/>
          <w:szCs w:val="24"/>
        </w:rPr>
        <w:t>г. в разрезе об</w:t>
      </w:r>
      <w:r w:rsidR="000262FC">
        <w:rPr>
          <w:rFonts w:ascii="Times New Roman" w:hAnsi="Times New Roman" w:cs="Times New Roman"/>
          <w:sz w:val="24"/>
          <w:szCs w:val="24"/>
        </w:rPr>
        <w:t>ластей представлены в таблице 1</w:t>
      </w:r>
      <w:r w:rsidR="000262FC" w:rsidRPr="000262FC">
        <w:rPr>
          <w:rFonts w:ascii="Times New Roman" w:hAnsi="Times New Roman" w:cs="Times New Roman"/>
          <w:sz w:val="24"/>
          <w:szCs w:val="24"/>
        </w:rPr>
        <w:t>1</w:t>
      </w:r>
      <w:r w:rsidRPr="000262FC">
        <w:rPr>
          <w:rFonts w:ascii="Times New Roman" w:hAnsi="Times New Roman" w:cs="Times New Roman"/>
          <w:sz w:val="24"/>
          <w:szCs w:val="24"/>
        </w:rPr>
        <w:t>.</w:t>
      </w:r>
      <w:r w:rsidR="00F97D61" w:rsidRPr="000262FC">
        <w:rPr>
          <w:rFonts w:ascii="Times New Roman" w:hAnsi="Times New Roman" w:cs="Times New Roman"/>
          <w:sz w:val="24"/>
          <w:szCs w:val="24"/>
        </w:rPr>
        <w:t>4</w:t>
      </w:r>
      <w:r w:rsidRPr="000262FC">
        <w:rPr>
          <w:rFonts w:ascii="Times New Roman" w:hAnsi="Times New Roman" w:cs="Times New Roman"/>
          <w:sz w:val="24"/>
          <w:szCs w:val="24"/>
        </w:rPr>
        <w:t>.</w:t>
      </w:r>
    </w:p>
    <w:p w:rsidR="002A1051" w:rsidRPr="000262FC" w:rsidRDefault="00F71651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 в 2015 году</w:t>
      </w:r>
      <w:r w:rsidR="002A1051" w:rsidRPr="000262FC">
        <w:rPr>
          <w:rFonts w:ascii="Times New Roman" w:hAnsi="Times New Roman" w:cs="Times New Roman"/>
        </w:rPr>
        <w:t xml:space="preserve"> отходов стекла заготовлено больше – на 25%, резиносодержащих отходов и полимерных отходов – на 8% относительно 2014 года. Объем заготовки текстильных отходов составил 87,5% от уровня 2014 г, а отходов бумаги и картона 98%.</w:t>
      </w:r>
    </w:p>
    <w:p w:rsidR="002A1051" w:rsidRPr="000262FC" w:rsidRDefault="002A1051" w:rsidP="005D6524">
      <w:pPr>
        <w:pStyle w:val="Default"/>
        <w:spacing w:after="240" w:line="276" w:lineRule="auto"/>
        <w:ind w:firstLine="709"/>
        <w:jc w:val="both"/>
        <w:rPr>
          <w:rFonts w:ascii="Times New Roman" w:hAnsi="Times New Roman" w:cs="Times New Roman"/>
        </w:rPr>
      </w:pPr>
      <w:r w:rsidRPr="000262FC">
        <w:rPr>
          <w:rFonts w:ascii="Times New Roman" w:hAnsi="Times New Roman" w:cs="Times New Roman"/>
        </w:rPr>
        <w:lastRenderedPageBreak/>
        <w:t>За время реализации Государственной программы сбора (заготовки) и переработки вторичного сырья, за период 2008–2015</w:t>
      </w:r>
      <w:r w:rsidR="004741FD">
        <w:rPr>
          <w:rFonts w:ascii="Times New Roman" w:hAnsi="Times New Roman" w:cs="Times New Roman"/>
        </w:rPr>
        <w:t xml:space="preserve"> </w:t>
      </w:r>
      <w:r w:rsidRPr="000262FC">
        <w:rPr>
          <w:rFonts w:ascii="Times New Roman" w:hAnsi="Times New Roman" w:cs="Times New Roman"/>
        </w:rPr>
        <w:t>гг</w:t>
      </w:r>
      <w:r w:rsidR="004A6958">
        <w:rPr>
          <w:rFonts w:ascii="Times New Roman" w:hAnsi="Times New Roman" w:cs="Times New Roman"/>
        </w:rPr>
        <w:t>.</w:t>
      </w:r>
      <w:r w:rsidRPr="000262FC">
        <w:rPr>
          <w:rFonts w:ascii="Times New Roman" w:hAnsi="Times New Roman" w:cs="Times New Roman"/>
        </w:rPr>
        <w:t>, объем сбора основных видов ВМР увеличился в 2,5 раза.</w:t>
      </w:r>
    </w:p>
    <w:p w:rsidR="00B744AA" w:rsidRPr="000262FC" w:rsidRDefault="00B744AA" w:rsidP="009321F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262FC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Таблица 1</w:t>
      </w:r>
      <w:r w:rsidR="000262FC" w:rsidRPr="00A06C15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0262FC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F97D61" w:rsidRPr="000262FC">
        <w:rPr>
          <w:rFonts w:ascii="Times New Roman" w:hAnsi="Times New Roman" w:cs="Times New Roman"/>
          <w:b/>
          <w:bCs/>
          <w:i/>
          <w:iCs/>
          <w:sz w:val="22"/>
          <w:szCs w:val="22"/>
        </w:rPr>
        <w:t>4</w:t>
      </w:r>
    </w:p>
    <w:p w:rsidR="00B744AA" w:rsidRPr="000262FC" w:rsidRDefault="00B744AA" w:rsidP="009321F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262FC">
        <w:rPr>
          <w:rFonts w:ascii="Times New Roman" w:hAnsi="Times New Roman" w:cs="Times New Roman"/>
          <w:b/>
          <w:bCs/>
          <w:sz w:val="22"/>
          <w:szCs w:val="22"/>
        </w:rPr>
        <w:t>Заготовка различных видов вторичных материальных ресурсов</w:t>
      </w:r>
    </w:p>
    <w:p w:rsidR="00B744AA" w:rsidRPr="000262FC" w:rsidRDefault="00B744AA" w:rsidP="009321F0">
      <w:pPr>
        <w:jc w:val="center"/>
        <w:rPr>
          <w:rFonts w:ascii="Times New Roman" w:hAnsi="Times New Roman" w:cs="Times New Roman"/>
          <w:b/>
          <w:bCs/>
        </w:rPr>
      </w:pPr>
      <w:r w:rsidRPr="000262FC">
        <w:rPr>
          <w:rFonts w:ascii="Times New Roman" w:hAnsi="Times New Roman" w:cs="Times New Roman"/>
          <w:b/>
          <w:bCs/>
        </w:rPr>
        <w:t>в 201</w:t>
      </w:r>
      <w:r w:rsidR="00CC3D48" w:rsidRPr="000262FC">
        <w:rPr>
          <w:rFonts w:ascii="Times New Roman" w:hAnsi="Times New Roman" w:cs="Times New Roman"/>
          <w:b/>
          <w:bCs/>
        </w:rPr>
        <w:t>5</w:t>
      </w:r>
      <w:r w:rsidRPr="000262FC">
        <w:rPr>
          <w:rFonts w:ascii="Times New Roman" w:hAnsi="Times New Roman" w:cs="Times New Roman"/>
          <w:b/>
          <w:bCs/>
        </w:rPr>
        <w:t xml:space="preserve"> г., тыс.</w:t>
      </w:r>
      <w:r w:rsidR="00380F8D" w:rsidRPr="000262FC">
        <w:rPr>
          <w:rFonts w:ascii="Times New Roman" w:hAnsi="Times New Roman" w:cs="Times New Roman"/>
          <w:b/>
          <w:bCs/>
        </w:rPr>
        <w:t xml:space="preserve"> </w:t>
      </w:r>
      <w:r w:rsidRPr="000262FC">
        <w:rPr>
          <w:rFonts w:ascii="Times New Roman" w:hAnsi="Times New Roman" w:cs="Times New Roman"/>
          <w:b/>
          <w:bCs/>
        </w:rPr>
        <w:t>т (по данным ГУ «Оператор ВМР»)</w:t>
      </w:r>
    </w:p>
    <w:tbl>
      <w:tblPr>
        <w:tblStyle w:val="aff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276"/>
        <w:gridCol w:w="1559"/>
        <w:gridCol w:w="1701"/>
        <w:gridCol w:w="1384"/>
      </w:tblGrid>
      <w:tr w:rsidR="00422AE0" w:rsidTr="00422AE0">
        <w:tc>
          <w:tcPr>
            <w:tcW w:w="1701" w:type="dxa"/>
            <w:vMerge w:val="restart"/>
            <w:vAlign w:val="center"/>
          </w:tcPr>
          <w:p w:rsidR="00422AE0" w:rsidRPr="00422AE0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AE0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</w:t>
            </w:r>
          </w:p>
        </w:tc>
        <w:tc>
          <w:tcPr>
            <w:tcW w:w="7338" w:type="dxa"/>
            <w:gridSpan w:val="5"/>
            <w:vAlign w:val="center"/>
          </w:tcPr>
          <w:p w:rsidR="00422AE0" w:rsidRPr="00422AE0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ВМР</w:t>
            </w:r>
          </w:p>
        </w:tc>
      </w:tr>
      <w:tr w:rsidR="00422AE0" w:rsidTr="004741FD">
        <w:tc>
          <w:tcPr>
            <w:tcW w:w="1701" w:type="dxa"/>
            <w:vMerge/>
            <w:vAlign w:val="center"/>
          </w:tcPr>
          <w:p w:rsidR="00422AE0" w:rsidRPr="00422AE0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2AE0" w:rsidRPr="00422AE0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Отходы бумаги и картона</w:t>
            </w:r>
          </w:p>
        </w:tc>
        <w:tc>
          <w:tcPr>
            <w:tcW w:w="1276" w:type="dxa"/>
            <w:vAlign w:val="center"/>
          </w:tcPr>
          <w:p w:rsidR="00422AE0" w:rsidRPr="00422AE0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Отходы стекла</w:t>
            </w:r>
          </w:p>
        </w:tc>
        <w:tc>
          <w:tcPr>
            <w:tcW w:w="1559" w:type="dxa"/>
            <w:vAlign w:val="center"/>
          </w:tcPr>
          <w:p w:rsidR="002F7B29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Текстиль</w:t>
            </w:r>
            <w:r w:rsidR="00380F8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22AE0" w:rsidRPr="00422AE0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отходы</w:t>
            </w:r>
          </w:p>
        </w:tc>
        <w:tc>
          <w:tcPr>
            <w:tcW w:w="1701" w:type="dxa"/>
            <w:vAlign w:val="center"/>
          </w:tcPr>
          <w:p w:rsidR="00422AE0" w:rsidRPr="00422AE0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Резиносодер</w:t>
            </w:r>
            <w:r w:rsidR="00F7165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отходы</w:t>
            </w:r>
          </w:p>
        </w:tc>
        <w:tc>
          <w:tcPr>
            <w:tcW w:w="1384" w:type="dxa"/>
            <w:vAlign w:val="center"/>
          </w:tcPr>
          <w:p w:rsidR="002F7B29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</w:t>
            </w:r>
            <w:r w:rsidR="00380F8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422AE0" w:rsidRPr="00422AE0" w:rsidRDefault="00422AE0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отходы</w:t>
            </w:r>
          </w:p>
        </w:tc>
      </w:tr>
      <w:tr w:rsidR="00422AE0" w:rsidTr="004741FD">
        <w:tc>
          <w:tcPr>
            <w:tcW w:w="1701" w:type="dxa"/>
            <w:vAlign w:val="center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Брестская</w:t>
            </w:r>
          </w:p>
        </w:tc>
        <w:tc>
          <w:tcPr>
            <w:tcW w:w="1418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41,2</w:t>
            </w:r>
          </w:p>
        </w:tc>
        <w:tc>
          <w:tcPr>
            <w:tcW w:w="1276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21,3</w:t>
            </w:r>
          </w:p>
        </w:tc>
        <w:tc>
          <w:tcPr>
            <w:tcW w:w="1559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1701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1384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</w:t>
            </w:r>
          </w:p>
        </w:tc>
      </w:tr>
      <w:tr w:rsidR="00422AE0" w:rsidTr="004741FD">
        <w:tc>
          <w:tcPr>
            <w:tcW w:w="1701" w:type="dxa"/>
            <w:vAlign w:val="center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Витебская</w:t>
            </w:r>
          </w:p>
        </w:tc>
        <w:tc>
          <w:tcPr>
            <w:tcW w:w="1418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33,1</w:t>
            </w:r>
          </w:p>
        </w:tc>
        <w:tc>
          <w:tcPr>
            <w:tcW w:w="1276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19,1</w:t>
            </w:r>
          </w:p>
        </w:tc>
        <w:tc>
          <w:tcPr>
            <w:tcW w:w="1559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1701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1384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5,8</w:t>
            </w:r>
          </w:p>
        </w:tc>
      </w:tr>
      <w:tr w:rsidR="00422AE0" w:rsidTr="004741FD">
        <w:tc>
          <w:tcPr>
            <w:tcW w:w="1701" w:type="dxa"/>
            <w:vAlign w:val="center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Гомельская</w:t>
            </w:r>
          </w:p>
        </w:tc>
        <w:tc>
          <w:tcPr>
            <w:tcW w:w="1418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45,7</w:t>
            </w:r>
          </w:p>
        </w:tc>
        <w:tc>
          <w:tcPr>
            <w:tcW w:w="1276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25,8</w:t>
            </w:r>
          </w:p>
        </w:tc>
        <w:tc>
          <w:tcPr>
            <w:tcW w:w="1559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1384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</w:tr>
      <w:tr w:rsidR="00422AE0" w:rsidTr="004741FD">
        <w:tc>
          <w:tcPr>
            <w:tcW w:w="1701" w:type="dxa"/>
            <w:vAlign w:val="center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Гродненская</w:t>
            </w:r>
          </w:p>
        </w:tc>
        <w:tc>
          <w:tcPr>
            <w:tcW w:w="1418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27,8</w:t>
            </w:r>
          </w:p>
        </w:tc>
        <w:tc>
          <w:tcPr>
            <w:tcW w:w="1276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20,8</w:t>
            </w:r>
          </w:p>
        </w:tc>
        <w:tc>
          <w:tcPr>
            <w:tcW w:w="1559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1384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</w:tr>
      <w:tr w:rsidR="00422AE0" w:rsidTr="004741FD">
        <w:tc>
          <w:tcPr>
            <w:tcW w:w="1701" w:type="dxa"/>
            <w:vAlign w:val="center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38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Минск</w:t>
            </w:r>
          </w:p>
        </w:tc>
        <w:tc>
          <w:tcPr>
            <w:tcW w:w="1418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103,4</w:t>
            </w:r>
          </w:p>
        </w:tc>
        <w:tc>
          <w:tcPr>
            <w:tcW w:w="1276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38,3</w:t>
            </w:r>
          </w:p>
        </w:tc>
        <w:tc>
          <w:tcPr>
            <w:tcW w:w="1559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6,4</w:t>
            </w:r>
          </w:p>
        </w:tc>
        <w:tc>
          <w:tcPr>
            <w:tcW w:w="1384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</w:tr>
      <w:tr w:rsidR="00422AE0" w:rsidTr="004741FD">
        <w:tc>
          <w:tcPr>
            <w:tcW w:w="1701" w:type="dxa"/>
            <w:vAlign w:val="center"/>
          </w:tcPr>
          <w:p w:rsidR="00422AE0" w:rsidRP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Минская</w:t>
            </w:r>
          </w:p>
        </w:tc>
        <w:tc>
          <w:tcPr>
            <w:tcW w:w="1418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34,9</w:t>
            </w:r>
          </w:p>
        </w:tc>
        <w:tc>
          <w:tcPr>
            <w:tcW w:w="1276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19,4</w:t>
            </w:r>
          </w:p>
        </w:tc>
        <w:tc>
          <w:tcPr>
            <w:tcW w:w="1559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1,4</w:t>
            </w:r>
          </w:p>
        </w:tc>
        <w:tc>
          <w:tcPr>
            <w:tcW w:w="1701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1384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422AE0" w:rsidTr="004741FD">
        <w:tc>
          <w:tcPr>
            <w:tcW w:w="1701" w:type="dxa"/>
            <w:vAlign w:val="center"/>
          </w:tcPr>
          <w:p w:rsid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Могилевская</w:t>
            </w:r>
          </w:p>
        </w:tc>
        <w:tc>
          <w:tcPr>
            <w:tcW w:w="1418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276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19,6</w:t>
            </w:r>
          </w:p>
        </w:tc>
        <w:tc>
          <w:tcPr>
            <w:tcW w:w="1559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384" w:type="dxa"/>
          </w:tcPr>
          <w:p w:rsidR="00422AE0" w:rsidRPr="00422AE0" w:rsidRDefault="00012AF2" w:rsidP="009321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</w:t>
            </w:r>
          </w:p>
        </w:tc>
      </w:tr>
      <w:tr w:rsidR="00422AE0" w:rsidTr="004741FD">
        <w:tc>
          <w:tcPr>
            <w:tcW w:w="1701" w:type="dxa"/>
            <w:vAlign w:val="center"/>
          </w:tcPr>
          <w:p w:rsidR="00422AE0" w:rsidRDefault="00422AE0" w:rsidP="00422A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418" w:type="dxa"/>
            <w:vAlign w:val="center"/>
          </w:tcPr>
          <w:p w:rsidR="00422AE0" w:rsidRPr="00422AE0" w:rsidRDefault="00012AF2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323,0</w:t>
            </w:r>
          </w:p>
        </w:tc>
        <w:tc>
          <w:tcPr>
            <w:tcW w:w="1276" w:type="dxa"/>
            <w:vAlign w:val="center"/>
          </w:tcPr>
          <w:p w:rsidR="00422AE0" w:rsidRPr="00422AE0" w:rsidRDefault="00012AF2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164,3</w:t>
            </w:r>
          </w:p>
        </w:tc>
        <w:tc>
          <w:tcPr>
            <w:tcW w:w="1559" w:type="dxa"/>
            <w:vAlign w:val="center"/>
          </w:tcPr>
          <w:p w:rsidR="00422AE0" w:rsidRPr="00422AE0" w:rsidRDefault="00012AF2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1701" w:type="dxa"/>
            <w:vAlign w:val="center"/>
          </w:tcPr>
          <w:p w:rsidR="00422AE0" w:rsidRPr="00422AE0" w:rsidRDefault="00012AF2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43,2</w:t>
            </w:r>
          </w:p>
        </w:tc>
        <w:tc>
          <w:tcPr>
            <w:tcW w:w="1384" w:type="dxa"/>
            <w:vAlign w:val="center"/>
          </w:tcPr>
          <w:p w:rsidR="00422AE0" w:rsidRPr="00422AE0" w:rsidRDefault="00012AF2" w:rsidP="00422A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52,1</w:t>
            </w:r>
          </w:p>
        </w:tc>
      </w:tr>
    </w:tbl>
    <w:p w:rsidR="000262FC" w:rsidRDefault="000262FC" w:rsidP="000F3B57">
      <w:pPr>
        <w:pStyle w:val="Default"/>
        <w:ind w:firstLine="5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6E07" w:rsidRPr="000262FC" w:rsidRDefault="009F6E07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62FC">
        <w:rPr>
          <w:rFonts w:ascii="Times New Roman" w:hAnsi="Times New Roman" w:cs="Times New Roman"/>
        </w:rPr>
        <w:t>За время работы учреждения «Оператор вторичных материальных ресурсов»</w:t>
      </w:r>
      <w:r w:rsidR="00356CAC" w:rsidRPr="000262FC">
        <w:rPr>
          <w:rFonts w:ascii="Times New Roman" w:hAnsi="Times New Roman" w:cs="Times New Roman"/>
        </w:rPr>
        <w:t xml:space="preserve"> </w:t>
      </w:r>
      <w:r w:rsidRPr="000262FC">
        <w:rPr>
          <w:rFonts w:ascii="Times New Roman" w:hAnsi="Times New Roman" w:cs="Times New Roman"/>
        </w:rPr>
        <w:t>(создана 01.08.2012 г. Министерством жилищно</w:t>
      </w:r>
      <w:r w:rsidR="008F1068" w:rsidRPr="000262FC">
        <w:rPr>
          <w:rFonts w:ascii="Times New Roman" w:hAnsi="Times New Roman" w:cs="Times New Roman"/>
        </w:rPr>
        <w:t>–</w:t>
      </w:r>
      <w:r w:rsidRPr="000262FC">
        <w:rPr>
          <w:rFonts w:ascii="Times New Roman" w:hAnsi="Times New Roman" w:cs="Times New Roman"/>
        </w:rPr>
        <w:t xml:space="preserve">коммунального хозяйства Республики Беларусь для координации деятельности в сфере обращения с вторичными материальными ресурсами в соответствии с </w:t>
      </w:r>
      <w:r w:rsidRPr="000262FC">
        <w:rPr>
          <w:rFonts w:ascii="Times New Roman" w:hAnsi="Times New Roman" w:cs="Times New Roman"/>
          <w:bCs/>
        </w:rPr>
        <w:t>Указом Президента Республики Беларусь от 11.07.2012 № 313 «О некоторых вопросах обращения с отходами потребления»)</w:t>
      </w:r>
      <w:r w:rsidRPr="000262FC">
        <w:rPr>
          <w:rFonts w:ascii="Times New Roman" w:hAnsi="Times New Roman" w:cs="Times New Roman"/>
        </w:rPr>
        <w:t xml:space="preserve">, общий объем сбора основных видов ВМР увеличился на 55%. </w:t>
      </w:r>
      <w:r w:rsidR="00210351" w:rsidRPr="000262FC">
        <w:rPr>
          <w:rFonts w:ascii="Times New Roman" w:hAnsi="Times New Roman" w:cs="Times New Roman"/>
        </w:rPr>
        <w:t>Объем з</w:t>
      </w:r>
      <w:r w:rsidRPr="000262FC">
        <w:rPr>
          <w:rFonts w:ascii="Times New Roman" w:hAnsi="Times New Roman" w:cs="Times New Roman"/>
        </w:rPr>
        <w:t>аготовк</w:t>
      </w:r>
      <w:r w:rsidR="00210351" w:rsidRPr="000262FC">
        <w:rPr>
          <w:rFonts w:ascii="Times New Roman" w:hAnsi="Times New Roman" w:cs="Times New Roman"/>
        </w:rPr>
        <w:t>и</w:t>
      </w:r>
      <w:r w:rsidRPr="000262FC">
        <w:rPr>
          <w:rFonts w:ascii="Times New Roman" w:hAnsi="Times New Roman" w:cs="Times New Roman"/>
        </w:rPr>
        <w:t xml:space="preserve"> отхо</w:t>
      </w:r>
      <w:r w:rsidR="00210351" w:rsidRPr="000262FC">
        <w:rPr>
          <w:rFonts w:ascii="Times New Roman" w:hAnsi="Times New Roman" w:cs="Times New Roman"/>
        </w:rPr>
        <w:t>дов стекла вырос</w:t>
      </w:r>
      <w:r w:rsidRPr="000262FC">
        <w:rPr>
          <w:rFonts w:ascii="Times New Roman" w:hAnsi="Times New Roman" w:cs="Times New Roman"/>
        </w:rPr>
        <w:t xml:space="preserve"> в 2,8 раза</w:t>
      </w:r>
      <w:proofErr w:type="gramEnd"/>
      <w:r w:rsidRPr="000262FC">
        <w:rPr>
          <w:rFonts w:ascii="Times New Roman" w:hAnsi="Times New Roman" w:cs="Times New Roman"/>
        </w:rPr>
        <w:t>, полимерных отходов – почти в 2 раза, изношенных шин – на 80%, бумаги и картона – более чем на 20%.</w:t>
      </w:r>
    </w:p>
    <w:p w:rsidR="006E5F5C" w:rsidRPr="000262FC" w:rsidRDefault="006E5F5C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262FC">
        <w:rPr>
          <w:rFonts w:ascii="Times New Roman" w:hAnsi="Times New Roman" w:cs="Times New Roman"/>
        </w:rPr>
        <w:t>Одной из мер, направленных на увеличение объема извле</w:t>
      </w:r>
      <w:r w:rsidR="00D3286B" w:rsidRPr="000262FC">
        <w:rPr>
          <w:rFonts w:ascii="Times New Roman" w:hAnsi="Times New Roman" w:cs="Times New Roman"/>
        </w:rPr>
        <w:t>каемых</w:t>
      </w:r>
      <w:r w:rsidRPr="000262FC">
        <w:rPr>
          <w:rFonts w:ascii="Times New Roman" w:hAnsi="Times New Roman" w:cs="Times New Roman"/>
        </w:rPr>
        <w:t xml:space="preserve"> ВМР</w:t>
      </w:r>
      <w:r w:rsidR="00CE0F05" w:rsidRPr="000262FC">
        <w:rPr>
          <w:rFonts w:ascii="Times New Roman" w:hAnsi="Times New Roman" w:cs="Times New Roman"/>
        </w:rPr>
        <w:t xml:space="preserve"> из коммунальных отходов</w:t>
      </w:r>
      <w:r w:rsidRPr="000262FC">
        <w:rPr>
          <w:rFonts w:ascii="Times New Roman" w:hAnsi="Times New Roman" w:cs="Times New Roman"/>
        </w:rPr>
        <w:t xml:space="preserve">, является создание станций сортировки отходов. Создание станций сортировки позволяет полностью интегрироваться в действующую схему сбора, вывоза и обезвреживания отходов от населения, а также дает возможность полностью механизировать процесс разделения отходов, устанавливать оборудование для предварительной подготовки ВМР к </w:t>
      </w:r>
      <w:r w:rsidR="00356CAC" w:rsidRPr="000262FC">
        <w:rPr>
          <w:rFonts w:ascii="Times New Roman" w:hAnsi="Times New Roman" w:cs="Times New Roman"/>
        </w:rPr>
        <w:t>использованию</w:t>
      </w:r>
      <w:r w:rsidRPr="000262FC">
        <w:rPr>
          <w:rFonts w:ascii="Times New Roman" w:hAnsi="Times New Roman" w:cs="Times New Roman"/>
        </w:rPr>
        <w:t xml:space="preserve"> (мойки, дробилки, пресс</w:t>
      </w:r>
      <w:r w:rsidR="00231A6C" w:rsidRPr="000262FC">
        <w:rPr>
          <w:rFonts w:ascii="Times New Roman" w:hAnsi="Times New Roman" w:cs="Times New Roman"/>
        </w:rPr>
        <w:t>ы</w:t>
      </w:r>
      <w:r w:rsidRPr="000262FC">
        <w:rPr>
          <w:rFonts w:ascii="Times New Roman" w:hAnsi="Times New Roman" w:cs="Times New Roman"/>
        </w:rPr>
        <w:t xml:space="preserve"> и т.д.), уплотнять отсортированные отходы, подлежащие захоронению. </w:t>
      </w:r>
    </w:p>
    <w:p w:rsidR="005D75FB" w:rsidRPr="000262FC" w:rsidRDefault="005D75FB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262FC">
        <w:rPr>
          <w:rFonts w:ascii="Times New Roman" w:hAnsi="Times New Roman" w:cs="Times New Roman"/>
        </w:rPr>
        <w:t>В целях более эффективного извлечения вторичных материальных ресурсов из коммунальных отходов были построены мусороперерабатывающие заводы в Гомельской (г. Гомель), Могилевской (</w:t>
      </w:r>
      <w:r w:rsidR="002F7B29" w:rsidRPr="000262FC">
        <w:rPr>
          <w:rFonts w:ascii="Times New Roman" w:hAnsi="Times New Roman" w:cs="Times New Roman"/>
        </w:rPr>
        <w:t>г. </w:t>
      </w:r>
      <w:r w:rsidRPr="000262FC">
        <w:rPr>
          <w:rFonts w:ascii="Times New Roman" w:hAnsi="Times New Roman" w:cs="Times New Roman"/>
        </w:rPr>
        <w:t>Могилев), Витебской (г. Новополоцк) и Брестской</w:t>
      </w:r>
      <w:r w:rsidR="00380F8D" w:rsidRPr="000262FC">
        <w:rPr>
          <w:rFonts w:ascii="Times New Roman" w:hAnsi="Times New Roman" w:cs="Times New Roman"/>
        </w:rPr>
        <w:t xml:space="preserve"> </w:t>
      </w:r>
      <w:r w:rsidRPr="000262FC">
        <w:rPr>
          <w:rFonts w:ascii="Times New Roman" w:hAnsi="Times New Roman" w:cs="Times New Roman"/>
        </w:rPr>
        <w:t>(г.</w:t>
      </w:r>
      <w:r w:rsidR="002F7B29" w:rsidRPr="000262FC">
        <w:rPr>
          <w:rFonts w:ascii="Times New Roman" w:hAnsi="Times New Roman" w:cs="Times New Roman"/>
        </w:rPr>
        <w:t> </w:t>
      </w:r>
      <w:r w:rsidRPr="000262FC">
        <w:rPr>
          <w:rFonts w:ascii="Times New Roman" w:hAnsi="Times New Roman" w:cs="Times New Roman"/>
        </w:rPr>
        <w:t>Брест и г.</w:t>
      </w:r>
      <w:r w:rsidR="002F7B29" w:rsidRPr="000262FC">
        <w:rPr>
          <w:rFonts w:ascii="Times New Roman" w:hAnsi="Times New Roman" w:cs="Times New Roman"/>
        </w:rPr>
        <w:t> </w:t>
      </w:r>
      <w:r w:rsidRPr="000262FC">
        <w:rPr>
          <w:rFonts w:ascii="Times New Roman" w:hAnsi="Times New Roman" w:cs="Times New Roman"/>
        </w:rPr>
        <w:t>Барановичи) областях</w:t>
      </w:r>
      <w:r w:rsidR="00612D0E">
        <w:rPr>
          <w:rFonts w:ascii="Times New Roman" w:hAnsi="Times New Roman" w:cs="Times New Roman"/>
        </w:rPr>
        <w:t xml:space="preserve"> (табл. 1</w:t>
      </w:r>
      <w:r w:rsidR="00612D0E" w:rsidRPr="00A06C15">
        <w:rPr>
          <w:rFonts w:ascii="Times New Roman" w:hAnsi="Times New Roman" w:cs="Times New Roman"/>
        </w:rPr>
        <w:t>1</w:t>
      </w:r>
      <w:r w:rsidR="00AA642A" w:rsidRPr="000262FC">
        <w:rPr>
          <w:rFonts w:ascii="Times New Roman" w:hAnsi="Times New Roman" w:cs="Times New Roman"/>
        </w:rPr>
        <w:t>.5)</w:t>
      </w:r>
      <w:proofErr w:type="gramEnd"/>
      <w:r w:rsidRPr="000262FC">
        <w:rPr>
          <w:rFonts w:ascii="Times New Roman" w:hAnsi="Times New Roman" w:cs="Times New Roman"/>
        </w:rPr>
        <w:t>.</w:t>
      </w:r>
      <w:r w:rsidR="002F7B29" w:rsidRPr="000262FC">
        <w:rPr>
          <w:rFonts w:ascii="Times New Roman" w:hAnsi="Times New Roman" w:cs="Times New Roman"/>
        </w:rPr>
        <w:t xml:space="preserve">Также </w:t>
      </w:r>
      <w:r w:rsidR="00AA642A" w:rsidRPr="000262FC">
        <w:rPr>
          <w:rFonts w:ascii="Times New Roman" w:hAnsi="Times New Roman" w:cs="Times New Roman"/>
        </w:rPr>
        <w:t xml:space="preserve">ведется </w:t>
      </w:r>
      <w:r w:rsidR="002F7B29" w:rsidRPr="000262FC">
        <w:rPr>
          <w:rFonts w:ascii="Times New Roman" w:hAnsi="Times New Roman" w:cs="Times New Roman"/>
        </w:rPr>
        <w:t>строительств</w:t>
      </w:r>
      <w:r w:rsidR="00AA642A" w:rsidRPr="000262FC">
        <w:rPr>
          <w:rFonts w:ascii="Times New Roman" w:hAnsi="Times New Roman" w:cs="Times New Roman"/>
        </w:rPr>
        <w:t>о</w:t>
      </w:r>
      <w:r w:rsidR="002F7B29" w:rsidRPr="000262FC">
        <w:rPr>
          <w:rFonts w:ascii="Times New Roman" w:hAnsi="Times New Roman" w:cs="Times New Roman"/>
        </w:rPr>
        <w:t xml:space="preserve"> завод</w:t>
      </w:r>
      <w:r w:rsidR="00AA642A" w:rsidRPr="000262FC">
        <w:rPr>
          <w:rFonts w:ascii="Times New Roman" w:hAnsi="Times New Roman" w:cs="Times New Roman"/>
        </w:rPr>
        <w:t>а</w:t>
      </w:r>
      <w:r w:rsidR="002F7B29" w:rsidRPr="000262FC">
        <w:rPr>
          <w:rFonts w:ascii="Times New Roman" w:hAnsi="Times New Roman" w:cs="Times New Roman"/>
        </w:rPr>
        <w:t xml:space="preserve"> в Гродненской област</w:t>
      </w:r>
      <w:r w:rsidR="00AA642A" w:rsidRPr="000262FC">
        <w:rPr>
          <w:rFonts w:ascii="Times New Roman" w:hAnsi="Times New Roman" w:cs="Times New Roman"/>
        </w:rPr>
        <w:t>и</w:t>
      </w:r>
      <w:r w:rsidR="002F7B29" w:rsidRPr="000262FC">
        <w:rPr>
          <w:rFonts w:ascii="Times New Roman" w:hAnsi="Times New Roman" w:cs="Times New Roman"/>
        </w:rPr>
        <w:t xml:space="preserve">. </w:t>
      </w:r>
    </w:p>
    <w:p w:rsidR="00DD1A33" w:rsidRDefault="00DD1A33" w:rsidP="007274C4">
      <w:pPr>
        <w:pStyle w:val="Default"/>
        <w:jc w:val="right"/>
        <w:rPr>
          <w:rFonts w:ascii="Times New Roman" w:hAnsi="Times New Roman" w:cs="Times New Roman"/>
          <w:b/>
          <w:bCs/>
          <w:i/>
          <w:iCs/>
        </w:rPr>
        <w:sectPr w:rsidR="00DD1A33" w:rsidSect="00E30CB6">
          <w:footerReference w:type="default" r:id="rId22"/>
          <w:footerReference w:type="first" r:id="rId23"/>
          <w:pgSz w:w="11906" w:h="16838"/>
          <w:pgMar w:top="1134" w:right="850" w:bottom="1134" w:left="1701" w:header="567" w:footer="283" w:gutter="0"/>
          <w:pgNumType w:start="284"/>
          <w:cols w:space="708"/>
          <w:docGrid w:linePitch="360"/>
        </w:sectPr>
      </w:pPr>
    </w:p>
    <w:p w:rsidR="007274C4" w:rsidRPr="00612D0E" w:rsidRDefault="007274C4" w:rsidP="00612D0E">
      <w:pPr>
        <w:pStyle w:val="Default"/>
        <w:spacing w:after="240"/>
        <w:jc w:val="right"/>
        <w:rPr>
          <w:rFonts w:ascii="Times New Roman" w:hAnsi="Times New Roman" w:cs="Times New Roman"/>
          <w:sz w:val="22"/>
          <w:szCs w:val="22"/>
        </w:rPr>
      </w:pPr>
      <w:r w:rsidRPr="00612D0E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Таблица 1</w:t>
      </w:r>
      <w:r w:rsidR="00612D0E" w:rsidRPr="00A06C15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612D0E">
        <w:rPr>
          <w:rFonts w:ascii="Times New Roman" w:hAnsi="Times New Roman" w:cs="Times New Roman"/>
          <w:b/>
          <w:bCs/>
          <w:i/>
          <w:iCs/>
          <w:sz w:val="22"/>
          <w:szCs w:val="22"/>
        </w:rPr>
        <w:t>.5</w:t>
      </w:r>
    </w:p>
    <w:p w:rsidR="007274C4" w:rsidRPr="00612D0E" w:rsidRDefault="007274C4" w:rsidP="00612D0E">
      <w:pPr>
        <w:pStyle w:val="Default"/>
        <w:spacing w:after="240" w:line="276" w:lineRule="auto"/>
        <w:ind w:firstLine="5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12D0E">
        <w:rPr>
          <w:rFonts w:ascii="Times New Roman" w:hAnsi="Times New Roman" w:cs="Times New Roman"/>
          <w:b/>
          <w:bCs/>
          <w:sz w:val="22"/>
          <w:szCs w:val="22"/>
        </w:rPr>
        <w:t>Извлечение ВМР на мусороперерабатывающих заводах Беларуси в 2014</w:t>
      </w:r>
      <w:r w:rsidR="004741F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41D36" w:rsidRPr="00612D0E">
        <w:rPr>
          <w:rFonts w:ascii="Times New Roman" w:hAnsi="Times New Roman" w:cs="Times New Roman"/>
          <w:b/>
          <w:bCs/>
          <w:sz w:val="22"/>
          <w:szCs w:val="22"/>
        </w:rPr>
        <w:t>г</w:t>
      </w:r>
      <w:r w:rsidR="004A6958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E41D36" w:rsidRPr="00612D0E">
        <w:rPr>
          <w:rFonts w:ascii="Times New Roman" w:hAnsi="Times New Roman" w:cs="Times New Roman"/>
          <w:b/>
          <w:bCs/>
          <w:sz w:val="22"/>
          <w:szCs w:val="22"/>
        </w:rPr>
        <w:t xml:space="preserve"> и за 9 месяцев </w:t>
      </w:r>
      <w:r w:rsidRPr="00612D0E">
        <w:rPr>
          <w:rFonts w:ascii="Times New Roman" w:hAnsi="Times New Roman" w:cs="Times New Roman"/>
          <w:b/>
          <w:bCs/>
          <w:sz w:val="22"/>
          <w:szCs w:val="22"/>
        </w:rPr>
        <w:t>2015 г</w:t>
      </w:r>
      <w:r w:rsidR="004A6958">
        <w:rPr>
          <w:rFonts w:ascii="Times New Roman" w:hAnsi="Times New Roman" w:cs="Times New Roman"/>
          <w:b/>
          <w:bCs/>
          <w:sz w:val="22"/>
          <w:szCs w:val="22"/>
        </w:rPr>
        <w:t>.</w:t>
      </w:r>
      <w:bookmarkStart w:id="5" w:name="_GoBack"/>
      <w:bookmarkEnd w:id="5"/>
      <w:r w:rsidRPr="00612D0E">
        <w:rPr>
          <w:rFonts w:ascii="Times New Roman" w:hAnsi="Times New Roman" w:cs="Times New Roman"/>
          <w:b/>
          <w:bCs/>
          <w:sz w:val="22"/>
          <w:szCs w:val="22"/>
        </w:rPr>
        <w:t>, тыс. т</w:t>
      </w:r>
    </w:p>
    <w:tbl>
      <w:tblPr>
        <w:tblW w:w="9585" w:type="dxa"/>
        <w:jc w:val="center"/>
        <w:tblInd w:w="93" w:type="dxa"/>
        <w:tblLook w:val="04A0" w:firstRow="1" w:lastRow="0" w:firstColumn="1" w:lastColumn="0" w:noHBand="0" w:noVBand="1"/>
      </w:tblPr>
      <w:tblGrid>
        <w:gridCol w:w="1715"/>
        <w:gridCol w:w="1303"/>
        <w:gridCol w:w="1441"/>
        <w:gridCol w:w="1783"/>
        <w:gridCol w:w="1720"/>
        <w:gridCol w:w="1441"/>
        <w:gridCol w:w="1783"/>
        <w:gridCol w:w="1720"/>
      </w:tblGrid>
      <w:tr w:rsidR="00DD1A33" w:rsidRPr="00DD1A33" w:rsidTr="00DD1A33">
        <w:trPr>
          <w:trHeight w:val="450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 МПЗ, тонн ТКО/год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</w:t>
            </w:r>
            <w:r w:rsidR="00356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 2015 г</w:t>
            </w:r>
            <w:r w:rsidR="00356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D1A33" w:rsidRPr="00DD1A33" w:rsidTr="00DD1A33">
        <w:trPr>
          <w:trHeight w:val="1440"/>
          <w:jc w:val="center"/>
        </w:trPr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пропущено, тыс. 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Отсортировано ВМР, тыс. 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пропущенного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пропущено, тыс. 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Отсортировано ВМР, тыс. 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фактически пропущенного</w:t>
            </w:r>
          </w:p>
        </w:tc>
      </w:tr>
      <w:tr w:rsidR="00DD1A33" w:rsidRPr="00DD1A33" w:rsidTr="00DD1A33">
        <w:trPr>
          <w:trHeight w:val="61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Брест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23,2</w:t>
            </w:r>
          </w:p>
        </w:tc>
      </w:tr>
      <w:tr w:rsidR="00DD1A33" w:rsidRPr="00DD1A33" w:rsidTr="00DD1A33">
        <w:trPr>
          <w:trHeight w:val="6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356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Барановичи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5,5</w:t>
            </w:r>
          </w:p>
        </w:tc>
      </w:tr>
      <w:tr w:rsidR="00DD1A33" w:rsidRPr="00DD1A33" w:rsidTr="00DD1A33">
        <w:trPr>
          <w:trHeight w:val="6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Новополоцк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25,2</w:t>
            </w:r>
          </w:p>
        </w:tc>
      </w:tr>
      <w:tr w:rsidR="00DD1A33" w:rsidRPr="00DD1A33" w:rsidTr="00DD1A33">
        <w:trPr>
          <w:trHeight w:val="54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Гомель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52,7</w:t>
            </w:r>
          </w:p>
        </w:tc>
      </w:tr>
      <w:tr w:rsidR="00DD1A33" w:rsidRPr="00DD1A33" w:rsidTr="00DD1A33">
        <w:trPr>
          <w:trHeight w:val="58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Могилев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14,2</w:t>
            </w:r>
          </w:p>
        </w:tc>
      </w:tr>
      <w:tr w:rsidR="00DD1A33" w:rsidRPr="00DD1A33" w:rsidTr="00DD1A33">
        <w:trPr>
          <w:trHeight w:val="31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A33" w:rsidRPr="00DD1A33" w:rsidRDefault="00DD1A33" w:rsidP="00DD1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</w:t>
            </w:r>
          </w:p>
        </w:tc>
      </w:tr>
    </w:tbl>
    <w:p w:rsidR="00DD1A33" w:rsidRDefault="00DD1A33" w:rsidP="007274C4">
      <w:pPr>
        <w:pStyle w:val="Default"/>
        <w:spacing w:line="276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  <w:sectPr w:rsidR="00DD1A33" w:rsidSect="00A34632">
          <w:pgSz w:w="16838" w:h="11906" w:orient="landscape"/>
          <w:pgMar w:top="850" w:right="1134" w:bottom="1701" w:left="1134" w:header="567" w:footer="283" w:gutter="0"/>
          <w:cols w:space="708"/>
          <w:docGrid w:linePitch="360"/>
        </w:sectPr>
      </w:pPr>
    </w:p>
    <w:p w:rsidR="007274C4" w:rsidRPr="00612D0E" w:rsidRDefault="005B0D6D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12D0E">
        <w:rPr>
          <w:rFonts w:ascii="Times New Roman" w:hAnsi="Times New Roman" w:cs="Times New Roman"/>
        </w:rPr>
        <w:lastRenderedPageBreak/>
        <w:t>Как видно из таблицы</w:t>
      </w:r>
      <w:r w:rsidR="00AA642A" w:rsidRPr="00612D0E">
        <w:rPr>
          <w:rFonts w:ascii="Times New Roman" w:hAnsi="Times New Roman" w:cs="Times New Roman"/>
        </w:rPr>
        <w:t xml:space="preserve"> 1</w:t>
      </w:r>
      <w:r w:rsidR="00612D0E" w:rsidRPr="00612D0E">
        <w:rPr>
          <w:rFonts w:ascii="Times New Roman" w:hAnsi="Times New Roman" w:cs="Times New Roman"/>
        </w:rPr>
        <w:t>1</w:t>
      </w:r>
      <w:r w:rsidR="00AA642A" w:rsidRPr="00612D0E">
        <w:rPr>
          <w:rFonts w:ascii="Times New Roman" w:hAnsi="Times New Roman" w:cs="Times New Roman"/>
        </w:rPr>
        <w:t>.5</w:t>
      </w:r>
      <w:r w:rsidR="00356CAC" w:rsidRPr="00612D0E">
        <w:rPr>
          <w:rFonts w:ascii="Times New Roman" w:hAnsi="Times New Roman" w:cs="Times New Roman"/>
        </w:rPr>
        <w:t xml:space="preserve"> </w:t>
      </w:r>
      <w:r w:rsidR="00AA642A" w:rsidRPr="00612D0E">
        <w:rPr>
          <w:rFonts w:ascii="Times New Roman" w:eastAsia="Calibri" w:hAnsi="Times New Roman" w:cs="Times New Roman"/>
          <w:color w:val="auto"/>
        </w:rPr>
        <w:t>эффективность работы</w:t>
      </w:r>
      <w:r w:rsidRPr="00612D0E">
        <w:rPr>
          <w:rFonts w:ascii="Times New Roman" w:eastAsia="Calibri" w:hAnsi="Times New Roman" w:cs="Times New Roman"/>
          <w:color w:val="auto"/>
        </w:rPr>
        <w:t xml:space="preserve"> мусороперерабатывающих заводов по Республике</w:t>
      </w:r>
      <w:r w:rsidR="00AA642A" w:rsidRPr="00612D0E">
        <w:rPr>
          <w:rFonts w:ascii="Times New Roman" w:eastAsia="Calibri" w:hAnsi="Times New Roman" w:cs="Times New Roman"/>
          <w:color w:val="auto"/>
        </w:rPr>
        <w:t xml:space="preserve"> пока остается довольно низкой</w:t>
      </w:r>
      <w:r w:rsidR="007D3857" w:rsidRPr="00612D0E">
        <w:rPr>
          <w:rFonts w:ascii="Times New Roman" w:eastAsia="Calibri" w:hAnsi="Times New Roman" w:cs="Times New Roman"/>
          <w:color w:val="auto"/>
        </w:rPr>
        <w:t>. Это связано, прежде всего, с отсутствием технологий по использованию отходов</w:t>
      </w:r>
      <w:r w:rsidR="00D95953" w:rsidRPr="00612D0E">
        <w:rPr>
          <w:rFonts w:ascii="Times New Roman" w:eastAsia="Calibri" w:hAnsi="Times New Roman" w:cs="Times New Roman"/>
          <w:color w:val="auto"/>
        </w:rPr>
        <w:t>. Второй из основных проблем неэффективной работы станций сортировки твердых коммунальных отходов является наличие в их составе пищевых и иных органических отходов.</w:t>
      </w:r>
      <w:r w:rsidR="006E5E33" w:rsidRPr="00612D0E">
        <w:rPr>
          <w:rFonts w:ascii="Times New Roman" w:eastAsia="Calibri" w:hAnsi="Times New Roman" w:cs="Times New Roman"/>
          <w:color w:val="auto"/>
        </w:rPr>
        <w:t xml:space="preserve"> Выделение пищевых и органических отходов из общего состава поступающих отходов позволит увеличить процент ВМР.</w:t>
      </w:r>
    </w:p>
    <w:p w:rsidR="00596548" w:rsidRPr="00612D0E" w:rsidRDefault="0003543D" w:rsidP="00F02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мировой опыт показал, что организация раздельного сбора отходов позволяет </w:t>
      </w:r>
      <w:r w:rsidR="00E37B4B"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снизить затраты на </w:t>
      </w:r>
      <w:r w:rsidR="00901431" w:rsidRPr="00612D0E">
        <w:rPr>
          <w:rFonts w:ascii="Times New Roman" w:hAnsi="Times New Roman" w:cs="Times New Roman"/>
          <w:color w:val="000000"/>
          <w:sz w:val="24"/>
          <w:szCs w:val="24"/>
        </w:rPr>
        <w:t>их сортировк</w:t>
      </w:r>
      <w:r w:rsidR="00820B56" w:rsidRPr="00612D0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01431"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37B4B"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в определенной мере контролировать поступление </w:t>
      </w:r>
      <w:r w:rsidR="00901431" w:rsidRPr="00612D0E">
        <w:rPr>
          <w:rFonts w:ascii="Times New Roman" w:hAnsi="Times New Roman" w:cs="Times New Roman"/>
          <w:color w:val="000000"/>
          <w:sz w:val="24"/>
          <w:szCs w:val="24"/>
        </w:rPr>
        <w:t>загрязняющих веществ в окружающую среду.</w:t>
      </w:r>
    </w:p>
    <w:p w:rsidR="00C23E59" w:rsidRPr="00612D0E" w:rsidRDefault="00C23E59" w:rsidP="00F021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С 2011 года в республике ведется сбор </w:t>
      </w:r>
      <w:r w:rsidRPr="00612D0E">
        <w:rPr>
          <w:rFonts w:ascii="Times New Roman" w:hAnsi="Times New Roman" w:cs="Times New Roman"/>
          <w:bCs/>
          <w:color w:val="000000"/>
          <w:sz w:val="24"/>
          <w:szCs w:val="24"/>
        </w:rPr>
        <w:t>отработанных элементов питания</w:t>
      </w:r>
      <w:r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. В 2013 году </w:t>
      </w:r>
      <w:r w:rsidR="00890D3E" w:rsidRPr="00612D0E">
        <w:rPr>
          <w:rFonts w:ascii="Times New Roman" w:hAnsi="Times New Roman" w:cs="Times New Roman"/>
          <w:color w:val="000000"/>
          <w:sz w:val="24"/>
          <w:szCs w:val="24"/>
        </w:rPr>
        <w:t>организован</w:t>
      </w:r>
      <w:r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 сбор </w:t>
      </w:r>
      <w:r w:rsidRPr="00612D0E">
        <w:rPr>
          <w:rFonts w:ascii="Times New Roman" w:hAnsi="Times New Roman" w:cs="Times New Roman"/>
          <w:bCs/>
          <w:color w:val="000000"/>
          <w:sz w:val="24"/>
          <w:szCs w:val="24"/>
        </w:rPr>
        <w:t>отходов электронного и электрического оборудования</w:t>
      </w:r>
      <w:r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. С 2015 года </w:t>
      </w:r>
      <w:r w:rsidR="00D3286B" w:rsidRPr="00612D0E">
        <w:rPr>
          <w:rFonts w:ascii="Times New Roman" w:hAnsi="Times New Roman" w:cs="Times New Roman"/>
          <w:color w:val="000000"/>
          <w:sz w:val="24"/>
          <w:szCs w:val="24"/>
        </w:rPr>
        <w:t>реализуются мероприятия по централизованному</w:t>
      </w:r>
      <w:r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 сбор</w:t>
      </w:r>
      <w:r w:rsidR="00D3286B" w:rsidRPr="00612D0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 от физических лиц отходов электрического и электронного оборудования, </w:t>
      </w:r>
      <w:r w:rsidRPr="00612D0E">
        <w:rPr>
          <w:rFonts w:ascii="Times New Roman" w:hAnsi="Times New Roman" w:cs="Times New Roman"/>
          <w:bCs/>
          <w:color w:val="000000"/>
          <w:sz w:val="24"/>
          <w:szCs w:val="24"/>
        </w:rPr>
        <w:t>ламп газоразрядных ртутьсодержащих</w:t>
      </w:r>
      <w:r w:rsidRPr="00612D0E">
        <w:rPr>
          <w:rFonts w:ascii="Times New Roman" w:hAnsi="Times New Roman" w:cs="Times New Roman"/>
          <w:color w:val="000000"/>
          <w:sz w:val="24"/>
          <w:szCs w:val="24"/>
        </w:rPr>
        <w:t xml:space="preserve">, элементов питания в местах розничной торговли в соответствии с постановлением Совета Министров Республики Беларусь от 2 декабря 2014 года № 1124. </w:t>
      </w:r>
    </w:p>
    <w:p w:rsidR="00C23E59" w:rsidRPr="00612D0E" w:rsidRDefault="004741FD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2015 </w:t>
      </w:r>
      <w:r w:rsidR="00C23E59" w:rsidRPr="00612D0E">
        <w:rPr>
          <w:rFonts w:ascii="Times New Roman" w:hAnsi="Times New Roman" w:cs="Times New Roman"/>
        </w:rPr>
        <w:t>г. в республике собрано около 4,0 тыс. т отходов электронного и электрического оборудования, около 36,6 т отходов элементов питания, около 210 тыс. шт. ламп газоразрядных ртутьсодержащих.</w:t>
      </w:r>
    </w:p>
    <w:p w:rsidR="00B744AA" w:rsidRPr="00612D0E" w:rsidRDefault="00B744AA" w:rsidP="00612D0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12D0E">
        <w:rPr>
          <w:rFonts w:ascii="Times New Roman" w:hAnsi="Times New Roman" w:cs="Times New Roman"/>
          <w:b/>
          <w:bCs/>
          <w:i/>
          <w:iCs/>
        </w:rPr>
        <w:t xml:space="preserve">Обезвреживание отходов производства </w:t>
      </w:r>
    </w:p>
    <w:p w:rsidR="00B744AA" w:rsidRPr="00612D0E" w:rsidRDefault="00B744AA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12D0E">
        <w:rPr>
          <w:rFonts w:ascii="Times New Roman" w:hAnsi="Times New Roman" w:cs="Times New Roman"/>
        </w:rPr>
        <w:t>Свойства большинства отходов не позволяют с достаточной эффективностью осуществить их возврат в сферу производства или безопасное захоронение. В</w:t>
      </w:r>
      <w:r w:rsidR="009321F0" w:rsidRPr="00612D0E">
        <w:rPr>
          <w:rFonts w:ascii="Times New Roman" w:hAnsi="Times New Roman" w:cs="Times New Roman"/>
        </w:rPr>
        <w:t xml:space="preserve"> связи с этим требуется примене</w:t>
      </w:r>
      <w:r w:rsidRPr="00612D0E">
        <w:rPr>
          <w:rFonts w:ascii="Times New Roman" w:hAnsi="Times New Roman" w:cs="Times New Roman"/>
        </w:rPr>
        <w:t>ние различных методов обезвре</w:t>
      </w:r>
      <w:r w:rsidR="009321F0" w:rsidRPr="00612D0E">
        <w:rPr>
          <w:rFonts w:ascii="Times New Roman" w:hAnsi="Times New Roman" w:cs="Times New Roman"/>
        </w:rPr>
        <w:t>живания отходов. В 201</w:t>
      </w:r>
      <w:r w:rsidR="00672C1D" w:rsidRPr="00612D0E">
        <w:rPr>
          <w:rFonts w:ascii="Times New Roman" w:hAnsi="Times New Roman" w:cs="Times New Roman"/>
        </w:rPr>
        <w:t>5</w:t>
      </w:r>
      <w:r w:rsidR="009321F0" w:rsidRPr="00612D0E">
        <w:rPr>
          <w:rFonts w:ascii="Times New Roman" w:hAnsi="Times New Roman" w:cs="Times New Roman"/>
        </w:rPr>
        <w:t xml:space="preserve"> г. в Бе</w:t>
      </w:r>
      <w:r w:rsidRPr="00612D0E">
        <w:rPr>
          <w:rFonts w:ascii="Times New Roman" w:hAnsi="Times New Roman" w:cs="Times New Roman"/>
        </w:rPr>
        <w:t xml:space="preserve">ларуси обезврежено </w:t>
      </w:r>
      <w:r w:rsidR="00672C1D" w:rsidRPr="00612D0E">
        <w:rPr>
          <w:rFonts w:ascii="Times New Roman" w:hAnsi="Times New Roman" w:cs="Times New Roman"/>
        </w:rPr>
        <w:t>210,2</w:t>
      </w:r>
      <w:r w:rsidRPr="00612D0E">
        <w:rPr>
          <w:rFonts w:ascii="Times New Roman" w:hAnsi="Times New Roman" w:cs="Times New Roman"/>
        </w:rPr>
        <w:t xml:space="preserve"> тыс.</w:t>
      </w:r>
      <w:r w:rsidR="003A01A2" w:rsidRPr="00612D0E">
        <w:rPr>
          <w:rFonts w:ascii="Times New Roman" w:hAnsi="Times New Roman" w:cs="Times New Roman"/>
        </w:rPr>
        <w:t> </w:t>
      </w:r>
      <w:r w:rsidRPr="00612D0E">
        <w:rPr>
          <w:rFonts w:ascii="Times New Roman" w:hAnsi="Times New Roman" w:cs="Times New Roman"/>
        </w:rPr>
        <w:t>т отходов производства. Наиболее применяемым методом является термическое обезвреживание (6</w:t>
      </w:r>
      <w:r w:rsidR="00672C1D" w:rsidRPr="00612D0E">
        <w:rPr>
          <w:rFonts w:ascii="Times New Roman" w:hAnsi="Times New Roman" w:cs="Times New Roman"/>
        </w:rPr>
        <w:t>4</w:t>
      </w:r>
      <w:r w:rsidRPr="00612D0E">
        <w:rPr>
          <w:rFonts w:ascii="Times New Roman" w:hAnsi="Times New Roman" w:cs="Times New Roman"/>
        </w:rPr>
        <w:t>,</w:t>
      </w:r>
      <w:r w:rsidR="00672C1D" w:rsidRPr="00612D0E">
        <w:rPr>
          <w:rFonts w:ascii="Times New Roman" w:hAnsi="Times New Roman" w:cs="Times New Roman"/>
        </w:rPr>
        <w:t>6</w:t>
      </w:r>
      <w:r w:rsidRPr="00612D0E">
        <w:rPr>
          <w:rFonts w:ascii="Times New Roman" w:hAnsi="Times New Roman" w:cs="Times New Roman"/>
        </w:rPr>
        <w:t xml:space="preserve">% общего объема обезвреженных отходов или </w:t>
      </w:r>
      <w:r w:rsidR="00672C1D" w:rsidRPr="00612D0E">
        <w:rPr>
          <w:rFonts w:ascii="Times New Roman" w:hAnsi="Times New Roman" w:cs="Times New Roman"/>
        </w:rPr>
        <w:t>135,7</w:t>
      </w:r>
      <w:r w:rsidRPr="00612D0E">
        <w:rPr>
          <w:rFonts w:ascii="Times New Roman" w:hAnsi="Times New Roman" w:cs="Times New Roman"/>
        </w:rPr>
        <w:t xml:space="preserve"> тыс.</w:t>
      </w:r>
      <w:r w:rsidR="003A01A2" w:rsidRPr="00612D0E">
        <w:rPr>
          <w:rFonts w:ascii="Times New Roman" w:hAnsi="Times New Roman" w:cs="Times New Roman"/>
        </w:rPr>
        <w:t> </w:t>
      </w:r>
      <w:r w:rsidRPr="00612D0E">
        <w:rPr>
          <w:rFonts w:ascii="Times New Roman" w:hAnsi="Times New Roman" w:cs="Times New Roman"/>
        </w:rPr>
        <w:t xml:space="preserve">т). </w:t>
      </w:r>
    </w:p>
    <w:p w:rsidR="00B744AA" w:rsidRPr="00612D0E" w:rsidRDefault="00B744AA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12D0E">
        <w:rPr>
          <w:rFonts w:ascii="Times New Roman" w:hAnsi="Times New Roman" w:cs="Times New Roman"/>
        </w:rPr>
        <w:t>Химическим способом обезврежено 43,9 тыс.</w:t>
      </w:r>
      <w:r w:rsidR="003A01A2" w:rsidRPr="00612D0E">
        <w:rPr>
          <w:rFonts w:ascii="Times New Roman" w:hAnsi="Times New Roman" w:cs="Times New Roman"/>
        </w:rPr>
        <w:t> </w:t>
      </w:r>
      <w:r w:rsidRPr="00612D0E">
        <w:rPr>
          <w:rFonts w:ascii="Times New Roman" w:hAnsi="Times New Roman" w:cs="Times New Roman"/>
        </w:rPr>
        <w:t xml:space="preserve">т отходов или </w:t>
      </w:r>
      <w:r w:rsidR="00672C1D" w:rsidRPr="00612D0E">
        <w:rPr>
          <w:rFonts w:ascii="Times New Roman" w:hAnsi="Times New Roman" w:cs="Times New Roman"/>
        </w:rPr>
        <w:t>28,9</w:t>
      </w:r>
      <w:r w:rsidRPr="00612D0E">
        <w:rPr>
          <w:rFonts w:ascii="Times New Roman" w:hAnsi="Times New Roman" w:cs="Times New Roman"/>
        </w:rPr>
        <w:t>% от общего объем</w:t>
      </w:r>
      <w:r w:rsidR="009321F0" w:rsidRPr="00612D0E">
        <w:rPr>
          <w:rFonts w:ascii="Times New Roman" w:hAnsi="Times New Roman" w:cs="Times New Roman"/>
        </w:rPr>
        <w:t>а обезвреживаемых в стране отхо</w:t>
      </w:r>
      <w:r w:rsidRPr="00612D0E">
        <w:rPr>
          <w:rFonts w:ascii="Times New Roman" w:hAnsi="Times New Roman" w:cs="Times New Roman"/>
        </w:rPr>
        <w:t>дов; остальными методами (физ</w:t>
      </w:r>
      <w:r w:rsidR="009321F0" w:rsidRPr="00612D0E">
        <w:rPr>
          <w:rFonts w:ascii="Times New Roman" w:hAnsi="Times New Roman" w:cs="Times New Roman"/>
        </w:rPr>
        <w:t>ико</w:t>
      </w:r>
      <w:r w:rsidR="008F1068" w:rsidRPr="00612D0E">
        <w:rPr>
          <w:rFonts w:ascii="Times New Roman" w:hAnsi="Times New Roman" w:cs="Times New Roman"/>
        </w:rPr>
        <w:t>–</w:t>
      </w:r>
      <w:r w:rsidR="009321F0" w:rsidRPr="00612D0E">
        <w:rPr>
          <w:rFonts w:ascii="Times New Roman" w:hAnsi="Times New Roman" w:cs="Times New Roman"/>
        </w:rPr>
        <w:t>химической переработки, био</w:t>
      </w:r>
      <w:r w:rsidRPr="00612D0E">
        <w:rPr>
          <w:rFonts w:ascii="Times New Roman" w:hAnsi="Times New Roman" w:cs="Times New Roman"/>
        </w:rPr>
        <w:t>логической обработки и электро</w:t>
      </w:r>
      <w:r w:rsidR="009321F0" w:rsidRPr="00612D0E">
        <w:rPr>
          <w:rFonts w:ascii="Times New Roman" w:hAnsi="Times New Roman" w:cs="Times New Roman"/>
        </w:rPr>
        <w:t>химическим способом) обезврежи</w:t>
      </w:r>
      <w:r w:rsidRPr="00612D0E">
        <w:rPr>
          <w:rFonts w:ascii="Times New Roman" w:hAnsi="Times New Roman" w:cs="Times New Roman"/>
        </w:rPr>
        <w:t xml:space="preserve">вается </w:t>
      </w:r>
      <w:r w:rsidR="00672C1D" w:rsidRPr="00612D0E">
        <w:rPr>
          <w:rFonts w:ascii="Times New Roman" w:hAnsi="Times New Roman" w:cs="Times New Roman"/>
        </w:rPr>
        <w:t>6,5</w:t>
      </w:r>
      <w:r w:rsidRPr="00612D0E">
        <w:rPr>
          <w:rFonts w:ascii="Times New Roman" w:hAnsi="Times New Roman" w:cs="Times New Roman"/>
        </w:rPr>
        <w:t xml:space="preserve">%. </w:t>
      </w:r>
      <w:r w:rsidR="00287B82" w:rsidRPr="00612D0E">
        <w:rPr>
          <w:rFonts w:ascii="Times New Roman" w:hAnsi="Times New Roman" w:cs="Times New Roman"/>
        </w:rPr>
        <w:t>Динамика применения способов отображена на рисунке 1</w:t>
      </w:r>
      <w:r w:rsidR="00612D0E" w:rsidRPr="00813ED3">
        <w:rPr>
          <w:rFonts w:ascii="Times New Roman" w:hAnsi="Times New Roman" w:cs="Times New Roman"/>
        </w:rPr>
        <w:t>1</w:t>
      </w:r>
      <w:r w:rsidR="00287B82" w:rsidRPr="00612D0E">
        <w:rPr>
          <w:rFonts w:ascii="Times New Roman" w:hAnsi="Times New Roman" w:cs="Times New Roman"/>
        </w:rPr>
        <w:t>.14.</w:t>
      </w:r>
    </w:p>
    <w:p w:rsidR="00813ED3" w:rsidRPr="00CD4097" w:rsidRDefault="00813ED3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4097">
        <w:rPr>
          <w:rFonts w:ascii="Times New Roman" w:hAnsi="Times New Roman" w:cs="Times New Roman"/>
        </w:rPr>
        <w:t xml:space="preserve">По мнению </w:t>
      </w:r>
      <w:proofErr w:type="gramStart"/>
      <w:r w:rsidRPr="00CD4097">
        <w:rPr>
          <w:rFonts w:ascii="Times New Roman" w:hAnsi="Times New Roman" w:cs="Times New Roman"/>
        </w:rPr>
        <w:t>экспертов</w:t>
      </w:r>
      <w:proofErr w:type="gramEnd"/>
      <w:r w:rsidRPr="00CD4097">
        <w:rPr>
          <w:rFonts w:ascii="Times New Roman" w:hAnsi="Times New Roman" w:cs="Times New Roman"/>
        </w:rPr>
        <w:t xml:space="preserve"> термическое обезвреживание отходов (сжигание) имеет ряд недостатков: </w:t>
      </w:r>
    </w:p>
    <w:p w:rsidR="00813ED3" w:rsidRPr="00CD4097" w:rsidRDefault="00813ED3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4097">
        <w:rPr>
          <w:rFonts w:ascii="Times New Roman" w:hAnsi="Times New Roman" w:cs="Times New Roman"/>
        </w:rPr>
        <w:t xml:space="preserve">– при работе </w:t>
      </w:r>
      <w:proofErr w:type="spellStart"/>
      <w:r w:rsidRPr="00CD4097">
        <w:rPr>
          <w:rFonts w:ascii="Times New Roman" w:hAnsi="Times New Roman" w:cs="Times New Roman"/>
        </w:rPr>
        <w:t>сжигательного</w:t>
      </w:r>
      <w:proofErr w:type="spellEnd"/>
      <w:r w:rsidRPr="00CD4097">
        <w:rPr>
          <w:rFonts w:ascii="Times New Roman" w:hAnsi="Times New Roman" w:cs="Times New Roman"/>
        </w:rPr>
        <w:t xml:space="preserve"> устройства образуются опасные выбросы в форме </w:t>
      </w:r>
      <w:proofErr w:type="spellStart"/>
      <w:r w:rsidRPr="00CD4097">
        <w:rPr>
          <w:rFonts w:ascii="Times New Roman" w:hAnsi="Times New Roman" w:cs="Times New Roman"/>
        </w:rPr>
        <w:t>диоксинов</w:t>
      </w:r>
      <w:proofErr w:type="spellEnd"/>
      <w:r w:rsidRPr="00CD4097">
        <w:rPr>
          <w:rFonts w:ascii="Times New Roman" w:hAnsi="Times New Roman" w:cs="Times New Roman"/>
        </w:rPr>
        <w:t xml:space="preserve">. Стокгольмская конвенция о стойких органических загрязнителях включает сжигание отходов в список основных источников поступления </w:t>
      </w:r>
      <w:proofErr w:type="spellStart"/>
      <w:r w:rsidRPr="00CD4097">
        <w:rPr>
          <w:rFonts w:ascii="Times New Roman" w:hAnsi="Times New Roman" w:cs="Times New Roman"/>
        </w:rPr>
        <w:t>диоксинов</w:t>
      </w:r>
      <w:proofErr w:type="spellEnd"/>
      <w:r w:rsidRPr="00CD4097">
        <w:rPr>
          <w:rFonts w:ascii="Times New Roman" w:hAnsi="Times New Roman" w:cs="Times New Roman"/>
        </w:rPr>
        <w:t xml:space="preserve"> в окружающую среду. Это вносит вклад в общее негативное восприятие населением сжигания и препятствует строительству новых установок для сжигания отходов; </w:t>
      </w:r>
    </w:p>
    <w:p w:rsidR="00813ED3" w:rsidRPr="00CD4097" w:rsidRDefault="00813ED3" w:rsidP="00F0215A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4097">
        <w:rPr>
          <w:rFonts w:ascii="Times New Roman" w:hAnsi="Times New Roman" w:cs="Times New Roman"/>
        </w:rPr>
        <w:t xml:space="preserve">– сжигание медицинских отходов ответственно примерно за 10% от общего количества ртути, которое попадает в окружающую среду в результате хозяйственной деятельности человека; </w:t>
      </w:r>
    </w:p>
    <w:p w:rsidR="00813ED3" w:rsidRPr="00CD4097" w:rsidRDefault="00813ED3" w:rsidP="00F02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97">
        <w:rPr>
          <w:rFonts w:ascii="Times New Roman" w:hAnsi="Times New Roman" w:cs="Times New Roman"/>
          <w:sz w:val="24"/>
          <w:szCs w:val="24"/>
        </w:rPr>
        <w:t xml:space="preserve">– при сжигании образуется зола, которая по весу составляет около 25% от первоначального объёма отходов. </w:t>
      </w:r>
      <w:r w:rsidR="00814C0C" w:rsidRPr="00CD4097">
        <w:rPr>
          <w:rFonts w:ascii="Times New Roman" w:hAnsi="Times New Roman" w:cs="Times New Roman"/>
          <w:sz w:val="24"/>
          <w:szCs w:val="24"/>
        </w:rPr>
        <w:t>Поскольку в этой золе очень высокое содержание токсичных соединений и тяжёлых металлов, её нельзя захоронить на объектах размещения коммунальных отходов.</w:t>
      </w:r>
    </w:p>
    <w:p w:rsidR="00CD09DA" w:rsidRPr="000F3B57" w:rsidRDefault="00CD09DA" w:rsidP="00CD09D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0226" cy="338137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87B82" w:rsidRPr="00287B82" w:rsidRDefault="00287B82" w:rsidP="00287B82">
      <w:pPr>
        <w:pStyle w:val="Default"/>
        <w:ind w:firstLine="5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406F">
        <w:rPr>
          <w:rFonts w:ascii="Times New Roman" w:hAnsi="Times New Roman" w:cs="Times New Roman"/>
          <w:b/>
          <w:sz w:val="22"/>
          <w:szCs w:val="22"/>
        </w:rPr>
        <w:t>Рис. 1</w:t>
      </w:r>
      <w:r w:rsidR="00CD4097" w:rsidRPr="00EE406F">
        <w:rPr>
          <w:rFonts w:ascii="Times New Roman" w:hAnsi="Times New Roman" w:cs="Times New Roman"/>
          <w:b/>
          <w:sz w:val="22"/>
          <w:szCs w:val="22"/>
        </w:rPr>
        <w:t>1</w:t>
      </w:r>
      <w:r w:rsidRPr="00EE406F">
        <w:rPr>
          <w:rFonts w:ascii="Times New Roman" w:hAnsi="Times New Roman" w:cs="Times New Roman"/>
          <w:b/>
          <w:sz w:val="22"/>
          <w:szCs w:val="22"/>
        </w:rPr>
        <w:t>.14</w:t>
      </w:r>
      <w:r w:rsidR="00EE406F" w:rsidRPr="00EE406F">
        <w:rPr>
          <w:rFonts w:ascii="Times New Roman" w:hAnsi="Times New Roman" w:cs="Times New Roman"/>
          <w:b/>
          <w:sz w:val="22"/>
          <w:szCs w:val="22"/>
        </w:rPr>
        <w:t>.</w:t>
      </w:r>
      <w:r w:rsidRPr="00287B82">
        <w:rPr>
          <w:rFonts w:ascii="Times New Roman" w:hAnsi="Times New Roman" w:cs="Times New Roman"/>
          <w:b/>
          <w:sz w:val="22"/>
          <w:szCs w:val="22"/>
        </w:rPr>
        <w:t xml:space="preserve"> Доля применяемых способов обезвреживания отходов, %</w:t>
      </w:r>
    </w:p>
    <w:p w:rsidR="00814C0C" w:rsidRPr="00A06C15" w:rsidRDefault="00814C0C" w:rsidP="00814C0C">
      <w:pPr>
        <w:spacing w:after="0"/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814C0C" w:rsidRPr="00CD4097" w:rsidRDefault="00814C0C" w:rsidP="00A3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97">
        <w:rPr>
          <w:rFonts w:ascii="Times New Roman" w:hAnsi="Times New Roman" w:cs="Times New Roman"/>
          <w:sz w:val="24"/>
          <w:szCs w:val="24"/>
        </w:rPr>
        <w:t>Следовательно, в результате сжигания одних отходов, образуются другие, у которых концентрация загрязнителей намного выше;</w:t>
      </w:r>
    </w:p>
    <w:p w:rsidR="00B744AA" w:rsidRPr="00CD4097" w:rsidRDefault="00B744AA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4097">
        <w:rPr>
          <w:rFonts w:ascii="Times New Roman" w:hAnsi="Times New Roman" w:cs="Times New Roman"/>
        </w:rPr>
        <w:t>– сжигание, кроме того, яв</w:t>
      </w:r>
      <w:r w:rsidR="00B155B2" w:rsidRPr="00CD4097">
        <w:rPr>
          <w:rFonts w:ascii="Times New Roman" w:hAnsi="Times New Roman" w:cs="Times New Roman"/>
        </w:rPr>
        <w:t>ляется относительно дорогой тех</w:t>
      </w:r>
      <w:r w:rsidRPr="00CD4097">
        <w:rPr>
          <w:rFonts w:ascii="Times New Roman" w:hAnsi="Times New Roman" w:cs="Times New Roman"/>
        </w:rPr>
        <w:t xml:space="preserve">нологией для </w:t>
      </w:r>
      <w:r w:rsidR="006D2F04" w:rsidRPr="00CD4097">
        <w:rPr>
          <w:rFonts w:ascii="Times New Roman" w:hAnsi="Times New Roman" w:cs="Times New Roman"/>
        </w:rPr>
        <w:t>обезвреживания</w:t>
      </w:r>
      <w:r w:rsidRPr="00CD4097">
        <w:rPr>
          <w:rFonts w:ascii="Times New Roman" w:hAnsi="Times New Roman" w:cs="Times New Roman"/>
        </w:rPr>
        <w:t xml:space="preserve"> отходо</w:t>
      </w:r>
      <w:r w:rsidR="00B155B2" w:rsidRPr="00CD4097">
        <w:rPr>
          <w:rFonts w:ascii="Times New Roman" w:hAnsi="Times New Roman" w:cs="Times New Roman"/>
        </w:rPr>
        <w:t xml:space="preserve">в. Капитальные затраты на </w:t>
      </w:r>
      <w:proofErr w:type="spellStart"/>
      <w:r w:rsidR="00B155B2" w:rsidRPr="00CD4097">
        <w:rPr>
          <w:rFonts w:ascii="Times New Roman" w:hAnsi="Times New Roman" w:cs="Times New Roman"/>
        </w:rPr>
        <w:t>сжига</w:t>
      </w:r>
      <w:r w:rsidRPr="00CD4097">
        <w:rPr>
          <w:rFonts w:ascii="Times New Roman" w:hAnsi="Times New Roman" w:cs="Times New Roman"/>
        </w:rPr>
        <w:t>тельное</w:t>
      </w:r>
      <w:proofErr w:type="spellEnd"/>
      <w:r w:rsidRPr="00CD4097">
        <w:rPr>
          <w:rFonts w:ascii="Times New Roman" w:hAnsi="Times New Roman" w:cs="Times New Roman"/>
        </w:rPr>
        <w:t xml:space="preserve"> </w:t>
      </w:r>
      <w:r w:rsidR="006D2F04" w:rsidRPr="00CD4097">
        <w:rPr>
          <w:rFonts w:ascii="Times New Roman" w:hAnsi="Times New Roman" w:cs="Times New Roman"/>
        </w:rPr>
        <w:t>оборудование</w:t>
      </w:r>
      <w:r w:rsidRPr="00CD4097">
        <w:rPr>
          <w:rFonts w:ascii="Times New Roman" w:hAnsi="Times New Roman" w:cs="Times New Roman"/>
        </w:rPr>
        <w:t xml:space="preserve"> высоки, а дополнение в виде газоочистного оборудования приводит к ещ</w:t>
      </w:r>
      <w:r w:rsidR="00B155B2" w:rsidRPr="00CD4097">
        <w:rPr>
          <w:rFonts w:ascii="Times New Roman" w:hAnsi="Times New Roman" w:cs="Times New Roman"/>
        </w:rPr>
        <w:t>ё большему возрастанию капиталь</w:t>
      </w:r>
      <w:r w:rsidRPr="00CD4097">
        <w:rPr>
          <w:rFonts w:ascii="Times New Roman" w:hAnsi="Times New Roman" w:cs="Times New Roman"/>
        </w:rPr>
        <w:t>ных затрат. Вследствие требова</w:t>
      </w:r>
      <w:r w:rsidR="00B155B2" w:rsidRPr="00CD4097">
        <w:rPr>
          <w:rFonts w:ascii="Times New Roman" w:hAnsi="Times New Roman" w:cs="Times New Roman"/>
        </w:rPr>
        <w:t>ния наличия обученного и опытно</w:t>
      </w:r>
      <w:r w:rsidRPr="00CD4097">
        <w:rPr>
          <w:rFonts w:ascii="Times New Roman" w:hAnsi="Times New Roman" w:cs="Times New Roman"/>
        </w:rPr>
        <w:t xml:space="preserve">го персонала возрастают также и эксплуатационные затраты. </w:t>
      </w:r>
    </w:p>
    <w:p w:rsidR="00B744AA" w:rsidRPr="00CD4097" w:rsidRDefault="00D92C63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4097">
        <w:rPr>
          <w:rFonts w:ascii="Times New Roman" w:hAnsi="Times New Roman" w:cs="Times New Roman"/>
        </w:rPr>
        <w:t>Поскольку термическое обезвреживание является на сегодняшний день основным способом обезвреживания отходов</w:t>
      </w:r>
      <w:r w:rsidR="003827CF" w:rsidRPr="00CD4097">
        <w:rPr>
          <w:rFonts w:ascii="Times New Roman" w:hAnsi="Times New Roman" w:cs="Times New Roman"/>
        </w:rPr>
        <w:t xml:space="preserve"> из</w:t>
      </w:r>
      <w:r w:rsidR="008F1068" w:rsidRPr="00CD4097">
        <w:rPr>
          <w:rFonts w:ascii="Times New Roman" w:hAnsi="Times New Roman" w:cs="Times New Roman"/>
        </w:rPr>
        <w:t>–</w:t>
      </w:r>
      <w:r w:rsidR="003827CF" w:rsidRPr="00CD4097">
        <w:rPr>
          <w:rFonts w:ascii="Times New Roman" w:hAnsi="Times New Roman" w:cs="Times New Roman"/>
        </w:rPr>
        <w:t>за ряда преимуществ относительно других способов</w:t>
      </w:r>
      <w:r w:rsidRPr="00CD4097">
        <w:rPr>
          <w:rFonts w:ascii="Times New Roman" w:hAnsi="Times New Roman" w:cs="Times New Roman"/>
        </w:rPr>
        <w:t xml:space="preserve">, возникает необходимость </w:t>
      </w:r>
      <w:r w:rsidR="003827CF" w:rsidRPr="00CD4097">
        <w:rPr>
          <w:rFonts w:ascii="Times New Roman" w:hAnsi="Times New Roman" w:cs="Times New Roman"/>
        </w:rPr>
        <w:t xml:space="preserve">разработки и </w:t>
      </w:r>
      <w:r w:rsidRPr="00CD4097">
        <w:rPr>
          <w:rFonts w:ascii="Times New Roman" w:hAnsi="Times New Roman" w:cs="Times New Roman"/>
        </w:rPr>
        <w:t xml:space="preserve">применения </w:t>
      </w:r>
      <w:r w:rsidR="003827CF" w:rsidRPr="00CD4097">
        <w:rPr>
          <w:rFonts w:ascii="Times New Roman" w:hAnsi="Times New Roman" w:cs="Times New Roman"/>
        </w:rPr>
        <w:t>методов и приборов, способных снизить степень негативных последствий применения данного способа обезвреживания.</w:t>
      </w:r>
    </w:p>
    <w:p w:rsidR="00B744AA" w:rsidRPr="00CD4097" w:rsidRDefault="00B744AA" w:rsidP="00CD409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CD4097">
        <w:rPr>
          <w:rFonts w:ascii="Times New Roman" w:hAnsi="Times New Roman" w:cs="Times New Roman"/>
          <w:b/>
          <w:bCs/>
          <w:i/>
          <w:iCs/>
        </w:rPr>
        <w:t xml:space="preserve">Накопление отходов производства </w:t>
      </w:r>
    </w:p>
    <w:p w:rsidR="00B744AA" w:rsidRPr="00A06C15" w:rsidRDefault="00B744AA" w:rsidP="00A3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097">
        <w:rPr>
          <w:rFonts w:ascii="Times New Roman" w:hAnsi="Times New Roman" w:cs="Times New Roman"/>
          <w:sz w:val="24"/>
          <w:szCs w:val="24"/>
        </w:rPr>
        <w:t>Объем накопленных отх</w:t>
      </w:r>
      <w:r w:rsidR="00B155B2" w:rsidRPr="00CD4097">
        <w:rPr>
          <w:rFonts w:ascii="Times New Roman" w:hAnsi="Times New Roman" w:cs="Times New Roman"/>
          <w:sz w:val="24"/>
          <w:szCs w:val="24"/>
        </w:rPr>
        <w:t>одов на объектах хранения (в ве</w:t>
      </w:r>
      <w:r w:rsidRPr="00CD4097">
        <w:rPr>
          <w:rFonts w:ascii="Times New Roman" w:hAnsi="Times New Roman" w:cs="Times New Roman"/>
          <w:sz w:val="24"/>
          <w:szCs w:val="24"/>
        </w:rPr>
        <w:t>домственных местах хранения и</w:t>
      </w:r>
      <w:r w:rsidR="00B155B2" w:rsidRPr="00CD4097">
        <w:rPr>
          <w:rFonts w:ascii="Times New Roman" w:hAnsi="Times New Roman" w:cs="Times New Roman"/>
          <w:sz w:val="24"/>
          <w:szCs w:val="24"/>
        </w:rPr>
        <w:t xml:space="preserve"> на территории предприятий) уве</w:t>
      </w:r>
      <w:r w:rsidRPr="00CD4097">
        <w:rPr>
          <w:rFonts w:ascii="Times New Roman" w:hAnsi="Times New Roman" w:cs="Times New Roman"/>
          <w:sz w:val="24"/>
          <w:szCs w:val="24"/>
        </w:rPr>
        <w:t>личился за 201</w:t>
      </w:r>
      <w:r w:rsidR="00672C1D" w:rsidRPr="00CD4097">
        <w:rPr>
          <w:rFonts w:ascii="Times New Roman" w:hAnsi="Times New Roman" w:cs="Times New Roman"/>
          <w:sz w:val="24"/>
          <w:szCs w:val="24"/>
        </w:rPr>
        <w:t>5</w:t>
      </w:r>
      <w:r w:rsidRPr="00CD4097">
        <w:rPr>
          <w:rFonts w:ascii="Times New Roman" w:hAnsi="Times New Roman" w:cs="Times New Roman"/>
          <w:sz w:val="24"/>
          <w:szCs w:val="24"/>
        </w:rPr>
        <w:t xml:space="preserve"> г. на </w:t>
      </w:r>
      <w:r w:rsidR="00672C1D" w:rsidRPr="00CD4097">
        <w:rPr>
          <w:rFonts w:ascii="Times New Roman" w:hAnsi="Times New Roman" w:cs="Times New Roman"/>
          <w:sz w:val="24"/>
          <w:szCs w:val="24"/>
        </w:rPr>
        <w:t>4</w:t>
      </w:r>
      <w:r w:rsidRPr="00CD4097">
        <w:rPr>
          <w:rFonts w:ascii="Times New Roman" w:hAnsi="Times New Roman" w:cs="Times New Roman"/>
          <w:sz w:val="24"/>
          <w:szCs w:val="24"/>
        </w:rPr>
        <w:t xml:space="preserve">% и составил на конец года </w:t>
      </w:r>
      <w:r w:rsidR="00672C1D" w:rsidRPr="00CD4097">
        <w:rPr>
          <w:rFonts w:ascii="Times New Roman" w:hAnsi="Times New Roman" w:cs="Times New Roman"/>
          <w:sz w:val="24"/>
          <w:szCs w:val="24"/>
        </w:rPr>
        <w:t>около</w:t>
      </w:r>
      <w:r w:rsidRPr="00CD4097">
        <w:rPr>
          <w:rFonts w:ascii="Times New Roman" w:hAnsi="Times New Roman" w:cs="Times New Roman"/>
          <w:sz w:val="24"/>
          <w:szCs w:val="24"/>
        </w:rPr>
        <w:t>10</w:t>
      </w:r>
      <w:r w:rsidR="00672C1D" w:rsidRPr="00CD4097">
        <w:rPr>
          <w:rFonts w:ascii="Times New Roman" w:hAnsi="Times New Roman" w:cs="Times New Roman"/>
          <w:sz w:val="24"/>
          <w:szCs w:val="24"/>
        </w:rPr>
        <w:t>94</w:t>
      </w:r>
      <w:r w:rsidRPr="00CD4097">
        <w:rPr>
          <w:rFonts w:ascii="Times New Roman" w:hAnsi="Times New Roman" w:cs="Times New Roman"/>
          <w:sz w:val="24"/>
          <w:szCs w:val="24"/>
        </w:rPr>
        <w:t>,2 млн</w:t>
      </w:r>
      <w:r w:rsidR="00B155B2" w:rsidRPr="00CD4097">
        <w:rPr>
          <w:rFonts w:ascii="Times New Roman" w:hAnsi="Times New Roman" w:cs="Times New Roman"/>
          <w:sz w:val="24"/>
          <w:szCs w:val="24"/>
        </w:rPr>
        <w:t>.</w:t>
      </w:r>
      <w:r w:rsidRPr="00CD4097">
        <w:rPr>
          <w:rFonts w:ascii="Times New Roman" w:hAnsi="Times New Roman" w:cs="Times New Roman"/>
          <w:sz w:val="24"/>
          <w:szCs w:val="24"/>
        </w:rPr>
        <w:t xml:space="preserve"> т</w:t>
      </w:r>
      <w:r w:rsidR="00CD4097">
        <w:rPr>
          <w:rFonts w:ascii="Times New Roman" w:hAnsi="Times New Roman" w:cs="Times New Roman"/>
          <w:sz w:val="24"/>
          <w:szCs w:val="24"/>
        </w:rPr>
        <w:t xml:space="preserve"> (табл. 1</w:t>
      </w:r>
      <w:r w:rsidR="00CD4097" w:rsidRPr="00CD4097">
        <w:rPr>
          <w:rFonts w:ascii="Times New Roman" w:hAnsi="Times New Roman" w:cs="Times New Roman"/>
          <w:sz w:val="24"/>
          <w:szCs w:val="24"/>
        </w:rPr>
        <w:t>1</w:t>
      </w:r>
      <w:r w:rsidR="004C4A60" w:rsidRPr="00CD4097">
        <w:rPr>
          <w:rFonts w:ascii="Times New Roman" w:hAnsi="Times New Roman" w:cs="Times New Roman"/>
          <w:sz w:val="24"/>
          <w:szCs w:val="24"/>
        </w:rPr>
        <w:t>.</w:t>
      </w:r>
      <w:r w:rsidR="009B0CA4" w:rsidRPr="00CD4097">
        <w:rPr>
          <w:rFonts w:ascii="Times New Roman" w:hAnsi="Times New Roman" w:cs="Times New Roman"/>
          <w:sz w:val="24"/>
          <w:szCs w:val="24"/>
        </w:rPr>
        <w:t>6</w:t>
      </w:r>
      <w:r w:rsidR="004C4A60" w:rsidRPr="00CD4097">
        <w:rPr>
          <w:rFonts w:ascii="Times New Roman" w:hAnsi="Times New Roman" w:cs="Times New Roman"/>
          <w:sz w:val="24"/>
          <w:szCs w:val="24"/>
        </w:rPr>
        <w:t>)</w:t>
      </w:r>
      <w:r w:rsidRPr="00CD4097">
        <w:rPr>
          <w:rFonts w:ascii="Times New Roman" w:hAnsi="Times New Roman" w:cs="Times New Roman"/>
          <w:sz w:val="24"/>
          <w:szCs w:val="24"/>
        </w:rPr>
        <w:t>. Наибольшие объемы накоплени</w:t>
      </w:r>
      <w:r w:rsidR="00B155B2" w:rsidRPr="00CD4097">
        <w:rPr>
          <w:rFonts w:ascii="Times New Roman" w:hAnsi="Times New Roman" w:cs="Times New Roman"/>
          <w:sz w:val="24"/>
          <w:szCs w:val="24"/>
        </w:rPr>
        <w:t>я характерны для галитовых отхо</w:t>
      </w:r>
      <w:r w:rsidRPr="00CD4097">
        <w:rPr>
          <w:rFonts w:ascii="Times New Roman" w:hAnsi="Times New Roman" w:cs="Times New Roman"/>
          <w:sz w:val="24"/>
          <w:szCs w:val="24"/>
        </w:rPr>
        <w:t>дов и глинисто</w:t>
      </w:r>
      <w:r w:rsidR="008F1068" w:rsidRPr="00CD4097">
        <w:rPr>
          <w:rFonts w:ascii="Times New Roman" w:hAnsi="Times New Roman" w:cs="Times New Roman"/>
          <w:sz w:val="24"/>
          <w:szCs w:val="24"/>
        </w:rPr>
        <w:t>–</w:t>
      </w:r>
      <w:r w:rsidRPr="00CD4097">
        <w:rPr>
          <w:rFonts w:ascii="Times New Roman" w:hAnsi="Times New Roman" w:cs="Times New Roman"/>
          <w:sz w:val="24"/>
          <w:szCs w:val="24"/>
        </w:rPr>
        <w:t>солевых шламов</w:t>
      </w:r>
      <w:r w:rsidR="00B155B2" w:rsidRPr="00CD4097">
        <w:rPr>
          <w:rFonts w:ascii="Times New Roman" w:hAnsi="Times New Roman" w:cs="Times New Roman"/>
          <w:sz w:val="24"/>
          <w:szCs w:val="24"/>
        </w:rPr>
        <w:t xml:space="preserve">, количество которых в </w:t>
      </w:r>
      <w:proofErr w:type="spellStart"/>
      <w:r w:rsidR="00B155B2" w:rsidRPr="00CD4097">
        <w:rPr>
          <w:rFonts w:ascii="Times New Roman" w:hAnsi="Times New Roman" w:cs="Times New Roman"/>
          <w:sz w:val="24"/>
          <w:szCs w:val="24"/>
        </w:rPr>
        <w:t>солеотва</w:t>
      </w:r>
      <w:r w:rsidRPr="00CD4097">
        <w:rPr>
          <w:rFonts w:ascii="Times New Roman" w:hAnsi="Times New Roman" w:cs="Times New Roman"/>
          <w:sz w:val="24"/>
          <w:szCs w:val="24"/>
        </w:rPr>
        <w:t>лах</w:t>
      </w:r>
      <w:proofErr w:type="spellEnd"/>
      <w:r w:rsidRPr="00CD40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D4097">
        <w:rPr>
          <w:rFonts w:ascii="Times New Roman" w:hAnsi="Times New Roman" w:cs="Times New Roman"/>
          <w:sz w:val="24"/>
          <w:szCs w:val="24"/>
        </w:rPr>
        <w:t>шламохранилищах</w:t>
      </w:r>
      <w:proofErr w:type="spellEnd"/>
      <w:r w:rsidRPr="00CD4097">
        <w:rPr>
          <w:rFonts w:ascii="Times New Roman" w:hAnsi="Times New Roman" w:cs="Times New Roman"/>
          <w:sz w:val="24"/>
          <w:szCs w:val="24"/>
        </w:rPr>
        <w:t xml:space="preserve"> привед</w:t>
      </w:r>
      <w:r w:rsidR="00B155B2" w:rsidRPr="00CD4097">
        <w:rPr>
          <w:rFonts w:ascii="Times New Roman" w:hAnsi="Times New Roman" w:cs="Times New Roman"/>
          <w:sz w:val="24"/>
          <w:szCs w:val="24"/>
        </w:rPr>
        <w:t>ено в таблице 1</w:t>
      </w:r>
      <w:r w:rsidR="00CD4097" w:rsidRPr="00CD4097">
        <w:rPr>
          <w:rFonts w:ascii="Times New Roman" w:hAnsi="Times New Roman" w:cs="Times New Roman"/>
          <w:sz w:val="24"/>
          <w:szCs w:val="24"/>
        </w:rPr>
        <w:t>1</w:t>
      </w:r>
      <w:r w:rsidR="00B155B2" w:rsidRPr="00CD4097">
        <w:rPr>
          <w:rFonts w:ascii="Times New Roman" w:hAnsi="Times New Roman" w:cs="Times New Roman"/>
          <w:sz w:val="24"/>
          <w:szCs w:val="24"/>
        </w:rPr>
        <w:t xml:space="preserve">.6, а также </w:t>
      </w:r>
      <w:proofErr w:type="spellStart"/>
      <w:r w:rsidR="00B155B2" w:rsidRPr="00CD4097">
        <w:rPr>
          <w:rFonts w:ascii="Times New Roman" w:hAnsi="Times New Roman" w:cs="Times New Roman"/>
          <w:sz w:val="24"/>
          <w:szCs w:val="24"/>
        </w:rPr>
        <w:t>фос</w:t>
      </w:r>
      <w:r w:rsidRPr="00CD4097">
        <w:rPr>
          <w:rFonts w:ascii="Times New Roman" w:hAnsi="Times New Roman" w:cs="Times New Roman"/>
          <w:sz w:val="24"/>
          <w:szCs w:val="24"/>
        </w:rPr>
        <w:t>фогипса</w:t>
      </w:r>
      <w:proofErr w:type="spellEnd"/>
      <w:r w:rsidRPr="00CD4097">
        <w:rPr>
          <w:rFonts w:ascii="Times New Roman" w:hAnsi="Times New Roman" w:cs="Times New Roman"/>
          <w:sz w:val="24"/>
          <w:szCs w:val="24"/>
        </w:rPr>
        <w:t xml:space="preserve"> и лигнина гидролизного (рис. 1</w:t>
      </w:r>
      <w:r w:rsidR="00CD4097" w:rsidRPr="00CD4097">
        <w:rPr>
          <w:rFonts w:ascii="Times New Roman" w:hAnsi="Times New Roman" w:cs="Times New Roman"/>
          <w:sz w:val="24"/>
          <w:szCs w:val="24"/>
        </w:rPr>
        <w:t>1</w:t>
      </w:r>
      <w:r w:rsidRPr="00CD4097">
        <w:rPr>
          <w:rFonts w:ascii="Times New Roman" w:hAnsi="Times New Roman" w:cs="Times New Roman"/>
          <w:sz w:val="24"/>
          <w:szCs w:val="24"/>
        </w:rPr>
        <w:t>.</w:t>
      </w:r>
      <w:r w:rsidR="004C4A60" w:rsidRPr="00CD4097">
        <w:rPr>
          <w:rFonts w:ascii="Times New Roman" w:hAnsi="Times New Roman" w:cs="Times New Roman"/>
          <w:sz w:val="24"/>
          <w:szCs w:val="24"/>
        </w:rPr>
        <w:t>1</w:t>
      </w:r>
      <w:r w:rsidR="00483B7F" w:rsidRPr="00CD4097">
        <w:rPr>
          <w:rFonts w:ascii="Times New Roman" w:hAnsi="Times New Roman" w:cs="Times New Roman"/>
          <w:sz w:val="24"/>
          <w:szCs w:val="24"/>
        </w:rPr>
        <w:t>5</w:t>
      </w:r>
      <w:r w:rsidRPr="00CD4097">
        <w:rPr>
          <w:rFonts w:ascii="Times New Roman" w:hAnsi="Times New Roman" w:cs="Times New Roman"/>
          <w:sz w:val="24"/>
          <w:szCs w:val="24"/>
        </w:rPr>
        <w:t>).</w:t>
      </w:r>
    </w:p>
    <w:p w:rsidR="00814C0C" w:rsidRPr="00CD4097" w:rsidRDefault="00814C0C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4097">
        <w:rPr>
          <w:rFonts w:ascii="Times New Roman" w:hAnsi="Times New Roman" w:cs="Times New Roman"/>
        </w:rPr>
        <w:t xml:space="preserve">В 2015 г. в отвалы было вывезено 29,85 млн. т образующихся галитовых отходов и около 3,15 млн. т шламов галитовых глинисто–солевых. </w:t>
      </w:r>
    </w:p>
    <w:p w:rsidR="00814C0C" w:rsidRPr="00CD4097" w:rsidRDefault="00814C0C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CD4097">
        <w:rPr>
          <w:rFonts w:ascii="Times New Roman" w:hAnsi="Times New Roman" w:cs="Times New Roman"/>
        </w:rPr>
        <w:t xml:space="preserve">Значительное накопление отходов производства в Гомельской области (свыше 26,53 млн. т) объясняется большими объемами накопления </w:t>
      </w:r>
      <w:proofErr w:type="spellStart"/>
      <w:r w:rsidRPr="00CD4097">
        <w:rPr>
          <w:rFonts w:ascii="Times New Roman" w:hAnsi="Times New Roman" w:cs="Times New Roman"/>
        </w:rPr>
        <w:t>фосфогипса</w:t>
      </w:r>
      <w:proofErr w:type="spellEnd"/>
      <w:r w:rsidRPr="00CD4097">
        <w:rPr>
          <w:rFonts w:ascii="Times New Roman" w:hAnsi="Times New Roman" w:cs="Times New Roman"/>
        </w:rPr>
        <w:t xml:space="preserve"> в Гомеле и гидролизного лигнина в Речице. </w:t>
      </w:r>
    </w:p>
    <w:p w:rsidR="00814C0C" w:rsidRDefault="00814C0C" w:rsidP="00CD40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0B74" w:rsidRPr="00814C0C" w:rsidRDefault="00660B74" w:rsidP="00CD40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C0C" w:rsidRPr="00814C0C" w:rsidRDefault="00814C0C" w:rsidP="00CD40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4AA" w:rsidRPr="00CD4097" w:rsidRDefault="00B744AA" w:rsidP="00B155B2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D4097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Таблица 1</w:t>
      </w:r>
      <w:r w:rsidR="00CD4097" w:rsidRPr="00A06C15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CD4097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9B0CA4" w:rsidRPr="00CD4097">
        <w:rPr>
          <w:rFonts w:ascii="Times New Roman" w:hAnsi="Times New Roman" w:cs="Times New Roman"/>
          <w:b/>
          <w:bCs/>
          <w:i/>
          <w:iCs/>
          <w:sz w:val="22"/>
          <w:szCs w:val="22"/>
        </w:rPr>
        <w:t>6</w:t>
      </w:r>
    </w:p>
    <w:p w:rsidR="00B744AA" w:rsidRPr="00CD4097" w:rsidRDefault="00B744AA" w:rsidP="004C4A6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CD4097">
        <w:rPr>
          <w:rFonts w:ascii="Times New Roman" w:hAnsi="Times New Roman" w:cs="Times New Roman"/>
          <w:b/>
          <w:bCs/>
        </w:rPr>
        <w:t xml:space="preserve">Количество отходов производства калийных удобрений в </w:t>
      </w:r>
      <w:proofErr w:type="spellStart"/>
      <w:r w:rsidRPr="00CD4097">
        <w:rPr>
          <w:rFonts w:ascii="Times New Roman" w:hAnsi="Times New Roman" w:cs="Times New Roman"/>
          <w:b/>
          <w:bCs/>
        </w:rPr>
        <w:t>солеотвалах</w:t>
      </w:r>
      <w:proofErr w:type="spellEnd"/>
      <w:r w:rsidRPr="00CD4097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CD4097">
        <w:rPr>
          <w:rFonts w:ascii="Times New Roman" w:hAnsi="Times New Roman" w:cs="Times New Roman"/>
          <w:b/>
          <w:bCs/>
        </w:rPr>
        <w:t>шламохранилищах</w:t>
      </w:r>
      <w:proofErr w:type="spellEnd"/>
      <w:r w:rsidRPr="00CD4097">
        <w:rPr>
          <w:rFonts w:ascii="Times New Roman" w:hAnsi="Times New Roman" w:cs="Times New Roman"/>
          <w:b/>
          <w:bCs/>
        </w:rPr>
        <w:t xml:space="preserve"> ОАО «Производственное объединение «</w:t>
      </w:r>
      <w:proofErr w:type="spellStart"/>
      <w:r w:rsidRPr="00CD4097">
        <w:rPr>
          <w:rFonts w:ascii="Times New Roman" w:hAnsi="Times New Roman" w:cs="Times New Roman"/>
          <w:b/>
          <w:bCs/>
        </w:rPr>
        <w:t>Беларуськалий</w:t>
      </w:r>
      <w:proofErr w:type="spellEnd"/>
      <w:r w:rsidRPr="00CD4097">
        <w:rPr>
          <w:rFonts w:ascii="Times New Roman" w:hAnsi="Times New Roman" w:cs="Times New Roman"/>
          <w:b/>
          <w:bCs/>
        </w:rPr>
        <w:t>», тыс.</w:t>
      </w:r>
      <w:r w:rsidR="00B01540" w:rsidRPr="00CD4097">
        <w:rPr>
          <w:rFonts w:ascii="Times New Roman" w:hAnsi="Times New Roman" w:cs="Times New Roman"/>
          <w:b/>
          <w:bCs/>
        </w:rPr>
        <w:t xml:space="preserve"> </w:t>
      </w:r>
      <w:r w:rsidRPr="00CD4097">
        <w:rPr>
          <w:rFonts w:ascii="Times New Roman" w:hAnsi="Times New Roman" w:cs="Times New Roman"/>
          <w:b/>
          <w:bCs/>
        </w:rPr>
        <w:t>т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3"/>
        <w:gridCol w:w="3827"/>
        <w:gridCol w:w="3835"/>
      </w:tblGrid>
      <w:tr w:rsidR="006A5465" w:rsidRPr="00E45183" w:rsidTr="00CD4097">
        <w:trPr>
          <w:trHeight w:val="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7B6A2E" w:rsidRDefault="006A5465" w:rsidP="00CD4097">
            <w:pPr>
              <w:pStyle w:val="ab"/>
              <w:spacing w:after="0" w:line="240" w:lineRule="auto"/>
              <w:ind w:left="284" w:firstLine="0"/>
              <w:jc w:val="left"/>
              <w:rPr>
                <w:bCs/>
                <w:lang w:eastAsia="en-US"/>
              </w:rPr>
            </w:pPr>
            <w:r w:rsidRPr="007B6A2E">
              <w:rPr>
                <w:bCs/>
                <w:lang w:eastAsia="en-US"/>
              </w:rP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7B6A2E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7B6A2E">
              <w:rPr>
                <w:bCs/>
                <w:lang w:eastAsia="en-US"/>
              </w:rPr>
              <w:t xml:space="preserve">Общее количество отходов </w:t>
            </w:r>
            <w:proofErr w:type="gramStart"/>
            <w:r w:rsidRPr="007B6A2E">
              <w:rPr>
                <w:bCs/>
                <w:lang w:eastAsia="en-US"/>
              </w:rPr>
              <w:t>в</w:t>
            </w:r>
            <w:proofErr w:type="gramEnd"/>
          </w:p>
          <w:p w:rsidR="006A5465" w:rsidRPr="007B6A2E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proofErr w:type="spellStart"/>
            <w:r w:rsidRPr="007B6A2E">
              <w:rPr>
                <w:bCs/>
                <w:lang w:eastAsia="en-US"/>
              </w:rPr>
              <w:t>солеотвалах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65" w:rsidRPr="007B6A2E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7B6A2E">
              <w:rPr>
                <w:bCs/>
                <w:lang w:eastAsia="en-US"/>
              </w:rPr>
              <w:t>Общее количество глинисто</w:t>
            </w:r>
            <w:r w:rsidR="008F1068">
              <w:rPr>
                <w:bCs/>
                <w:lang w:eastAsia="en-US"/>
              </w:rPr>
              <w:t>–</w:t>
            </w:r>
            <w:r w:rsidRPr="007B6A2E">
              <w:rPr>
                <w:bCs/>
                <w:lang w:eastAsia="en-US"/>
              </w:rPr>
              <w:t>солевых шламов</w:t>
            </w:r>
          </w:p>
        </w:tc>
      </w:tr>
      <w:tr w:rsidR="006A5465" w:rsidRPr="00E45183" w:rsidTr="00CD4097">
        <w:trPr>
          <w:trHeight w:val="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CD4097">
            <w:pPr>
              <w:pStyle w:val="ab"/>
              <w:spacing w:after="0" w:line="240" w:lineRule="auto"/>
              <w:ind w:left="284" w:firstLine="0"/>
              <w:jc w:val="left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807159,5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96704,8</w:t>
            </w:r>
          </w:p>
        </w:tc>
      </w:tr>
      <w:tr w:rsidR="006A5465" w:rsidRPr="00E45183" w:rsidTr="00CD4097">
        <w:trPr>
          <w:trHeight w:val="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CD4097">
            <w:pPr>
              <w:pStyle w:val="ab"/>
              <w:spacing w:after="0" w:line="240" w:lineRule="auto"/>
              <w:ind w:left="284" w:firstLine="0"/>
              <w:jc w:val="left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2011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832323,5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99655,9</w:t>
            </w:r>
          </w:p>
        </w:tc>
      </w:tr>
      <w:tr w:rsidR="006A5465" w:rsidRPr="00E45183" w:rsidTr="00CD4097">
        <w:trPr>
          <w:trHeight w:val="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CD4097">
            <w:pPr>
              <w:pStyle w:val="ab"/>
              <w:spacing w:after="0" w:line="240" w:lineRule="auto"/>
              <w:ind w:left="284" w:firstLine="0"/>
              <w:jc w:val="left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2012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854587,4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102150,4</w:t>
            </w:r>
          </w:p>
        </w:tc>
      </w:tr>
      <w:tr w:rsidR="006A5465" w:rsidRPr="00E45183" w:rsidTr="00CD4097">
        <w:trPr>
          <w:trHeight w:val="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CD4097">
            <w:pPr>
              <w:pStyle w:val="ab"/>
              <w:spacing w:after="0" w:line="240" w:lineRule="auto"/>
              <w:ind w:left="284" w:firstLine="0"/>
              <w:jc w:val="left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2013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873723,3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104254,4</w:t>
            </w:r>
          </w:p>
        </w:tc>
      </w:tr>
      <w:tr w:rsidR="006A5465" w:rsidRPr="00E45183" w:rsidTr="00CD4097">
        <w:trPr>
          <w:trHeight w:val="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CD4097">
            <w:pPr>
              <w:pStyle w:val="ab"/>
              <w:spacing w:after="0" w:line="240" w:lineRule="auto"/>
              <w:ind w:left="284" w:firstLine="0"/>
              <w:jc w:val="left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2014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902873,8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107332,0</w:t>
            </w:r>
          </w:p>
        </w:tc>
      </w:tr>
      <w:tr w:rsidR="006A5465" w:rsidRPr="00E45183" w:rsidTr="00CD4097">
        <w:trPr>
          <w:trHeight w:val="20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CD4097">
            <w:pPr>
              <w:pStyle w:val="ab"/>
              <w:spacing w:after="0" w:line="240" w:lineRule="auto"/>
              <w:ind w:left="284" w:firstLine="0"/>
              <w:jc w:val="left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201</w:t>
            </w:r>
            <w:r>
              <w:rPr>
                <w:bCs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 w:rsidRPr="00E45183">
              <w:rPr>
                <w:bCs/>
                <w:lang w:eastAsia="en-US"/>
              </w:rPr>
              <w:t>9</w:t>
            </w:r>
            <w:r>
              <w:rPr>
                <w:bCs/>
                <w:lang w:eastAsia="en-US"/>
              </w:rPr>
              <w:t>32722,6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65" w:rsidRPr="00E45183" w:rsidRDefault="006A5465" w:rsidP="004C4A60">
            <w:pPr>
              <w:pStyle w:val="ab"/>
              <w:spacing w:after="0" w:line="240" w:lineRule="auto"/>
              <w:ind w:left="284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110484,1</w:t>
            </w:r>
          </w:p>
        </w:tc>
      </w:tr>
    </w:tbl>
    <w:p w:rsidR="004C4A60" w:rsidRDefault="004C4A60" w:rsidP="00B155B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5465" w:rsidRDefault="006A5465" w:rsidP="002A105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 wp14:anchorId="648B9170" wp14:editId="59577524">
            <wp:extent cx="4953000" cy="3505200"/>
            <wp:effectExtent l="0" t="0" r="0" b="0"/>
            <wp:docPr id="4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B744AA" w:rsidRPr="00B155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744AA" w:rsidRPr="00CD4097" w:rsidRDefault="004C4A60" w:rsidP="00B155B2">
      <w:pPr>
        <w:jc w:val="center"/>
        <w:rPr>
          <w:rFonts w:ascii="Times New Roman" w:hAnsi="Times New Roman" w:cs="Times New Roman"/>
          <w:b/>
          <w:bCs/>
        </w:rPr>
      </w:pPr>
      <w:r w:rsidRPr="00EE406F">
        <w:rPr>
          <w:rFonts w:ascii="Times New Roman" w:hAnsi="Times New Roman" w:cs="Times New Roman"/>
          <w:b/>
          <w:bCs/>
          <w:iCs/>
        </w:rPr>
        <w:t>Рис</w:t>
      </w:r>
      <w:r w:rsidR="00B744AA" w:rsidRPr="00EE406F">
        <w:rPr>
          <w:rFonts w:ascii="Times New Roman" w:hAnsi="Times New Roman" w:cs="Times New Roman"/>
          <w:b/>
          <w:bCs/>
          <w:iCs/>
        </w:rPr>
        <w:t xml:space="preserve"> 1</w:t>
      </w:r>
      <w:r w:rsidR="00CD4097" w:rsidRPr="00EE406F">
        <w:rPr>
          <w:rFonts w:ascii="Times New Roman" w:hAnsi="Times New Roman" w:cs="Times New Roman"/>
          <w:b/>
          <w:bCs/>
          <w:iCs/>
        </w:rPr>
        <w:t>1</w:t>
      </w:r>
      <w:r w:rsidR="00B744AA" w:rsidRPr="00EE406F">
        <w:rPr>
          <w:rFonts w:ascii="Times New Roman" w:hAnsi="Times New Roman" w:cs="Times New Roman"/>
          <w:b/>
          <w:bCs/>
          <w:iCs/>
        </w:rPr>
        <w:t>.</w:t>
      </w:r>
      <w:r w:rsidRPr="00EE406F">
        <w:rPr>
          <w:rFonts w:ascii="Times New Roman" w:hAnsi="Times New Roman" w:cs="Times New Roman"/>
          <w:b/>
          <w:bCs/>
          <w:iCs/>
        </w:rPr>
        <w:t>1</w:t>
      </w:r>
      <w:r w:rsidR="00483B7F" w:rsidRPr="00EE406F">
        <w:rPr>
          <w:rFonts w:ascii="Times New Roman" w:hAnsi="Times New Roman" w:cs="Times New Roman"/>
          <w:b/>
          <w:bCs/>
          <w:iCs/>
        </w:rPr>
        <w:t>5</w:t>
      </w:r>
      <w:r w:rsidR="00EE406F" w:rsidRPr="00EE406F">
        <w:rPr>
          <w:rFonts w:ascii="Times New Roman" w:hAnsi="Times New Roman" w:cs="Times New Roman"/>
          <w:b/>
          <w:bCs/>
          <w:iCs/>
        </w:rPr>
        <w:t>.</w:t>
      </w:r>
      <w:r w:rsidR="006D2F04" w:rsidRPr="00CD409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B744AA" w:rsidRPr="00CD4097">
        <w:rPr>
          <w:rFonts w:ascii="Times New Roman" w:hAnsi="Times New Roman" w:cs="Times New Roman"/>
          <w:b/>
          <w:bCs/>
        </w:rPr>
        <w:t>Объемы накопленных отходов, тыс.</w:t>
      </w:r>
      <w:r w:rsidR="006D2F04" w:rsidRPr="00CD4097">
        <w:rPr>
          <w:rFonts w:ascii="Times New Roman" w:hAnsi="Times New Roman" w:cs="Times New Roman"/>
          <w:b/>
          <w:bCs/>
        </w:rPr>
        <w:t> </w:t>
      </w:r>
      <w:r w:rsidR="00B744AA" w:rsidRPr="00CD4097">
        <w:rPr>
          <w:rFonts w:ascii="Times New Roman" w:hAnsi="Times New Roman" w:cs="Times New Roman"/>
          <w:b/>
          <w:bCs/>
        </w:rPr>
        <w:t>т</w:t>
      </w:r>
    </w:p>
    <w:p w:rsidR="00B744AA" w:rsidRPr="00135DC1" w:rsidRDefault="00B744AA" w:rsidP="00135DC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35DC1">
        <w:rPr>
          <w:rFonts w:ascii="Times New Roman" w:hAnsi="Times New Roman" w:cs="Times New Roman"/>
          <w:b/>
          <w:bCs/>
          <w:i/>
          <w:iCs/>
        </w:rPr>
        <w:t xml:space="preserve">Хранение опасных отходов </w:t>
      </w:r>
    </w:p>
    <w:p w:rsidR="00B744AA" w:rsidRPr="00135DC1" w:rsidRDefault="00B744AA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5DC1">
        <w:rPr>
          <w:rFonts w:ascii="Times New Roman" w:hAnsi="Times New Roman" w:cs="Times New Roman"/>
        </w:rPr>
        <w:t>Количество отходов 1–3 классов опасности, находящихся на хранении на предприятиях Беларуси, составило к концу 201</w:t>
      </w:r>
      <w:r w:rsidR="006A5465" w:rsidRPr="00135DC1">
        <w:rPr>
          <w:rFonts w:ascii="Times New Roman" w:hAnsi="Times New Roman" w:cs="Times New Roman"/>
        </w:rPr>
        <w:t>5</w:t>
      </w:r>
      <w:r w:rsidRPr="00135DC1">
        <w:rPr>
          <w:rFonts w:ascii="Times New Roman" w:hAnsi="Times New Roman" w:cs="Times New Roman"/>
        </w:rPr>
        <w:t xml:space="preserve"> г. </w:t>
      </w:r>
      <w:r w:rsidR="006A5465" w:rsidRPr="00135DC1">
        <w:rPr>
          <w:rFonts w:ascii="Times New Roman" w:hAnsi="Times New Roman" w:cs="Times New Roman"/>
        </w:rPr>
        <w:t>7298</w:t>
      </w:r>
      <w:r w:rsidRPr="00135DC1">
        <w:rPr>
          <w:rFonts w:ascii="Times New Roman" w:hAnsi="Times New Roman" w:cs="Times New Roman"/>
        </w:rPr>
        <w:t>,0 тыс.</w:t>
      </w:r>
      <w:r w:rsidR="00B01540" w:rsidRPr="00135DC1">
        <w:rPr>
          <w:rFonts w:ascii="Times New Roman" w:hAnsi="Times New Roman" w:cs="Times New Roman"/>
        </w:rPr>
        <w:t> </w:t>
      </w:r>
      <w:r w:rsidRPr="00135DC1">
        <w:rPr>
          <w:rFonts w:ascii="Times New Roman" w:hAnsi="Times New Roman" w:cs="Times New Roman"/>
        </w:rPr>
        <w:t>т. Из них на отходы 1 класса опасности приходится 0,1</w:t>
      </w:r>
      <w:r w:rsidR="006A5465" w:rsidRPr="00135DC1">
        <w:rPr>
          <w:rFonts w:ascii="Times New Roman" w:hAnsi="Times New Roman" w:cs="Times New Roman"/>
        </w:rPr>
        <w:t>5</w:t>
      </w:r>
      <w:r w:rsidRPr="00135DC1">
        <w:rPr>
          <w:rFonts w:ascii="Times New Roman" w:hAnsi="Times New Roman" w:cs="Times New Roman"/>
        </w:rPr>
        <w:t>% и 2 класса – 0,1</w:t>
      </w:r>
      <w:r w:rsidR="006A5465" w:rsidRPr="00135DC1">
        <w:rPr>
          <w:rFonts w:ascii="Times New Roman" w:hAnsi="Times New Roman" w:cs="Times New Roman"/>
        </w:rPr>
        <w:t>7</w:t>
      </w:r>
      <w:r w:rsidRPr="00135DC1">
        <w:rPr>
          <w:rFonts w:ascii="Times New Roman" w:hAnsi="Times New Roman" w:cs="Times New Roman"/>
        </w:rPr>
        <w:t>%. Эти отходы, как правило, хранятся на предприятиях в специально об</w:t>
      </w:r>
      <w:r w:rsidR="00B155B2" w:rsidRPr="00135DC1">
        <w:rPr>
          <w:rFonts w:ascii="Times New Roman" w:hAnsi="Times New Roman" w:cs="Times New Roman"/>
        </w:rPr>
        <w:t>орудованных помещениях, на скла</w:t>
      </w:r>
      <w:r w:rsidRPr="00135DC1">
        <w:rPr>
          <w:rFonts w:ascii="Times New Roman" w:hAnsi="Times New Roman" w:cs="Times New Roman"/>
        </w:rPr>
        <w:t xml:space="preserve">дах и </w:t>
      </w:r>
      <w:proofErr w:type="spellStart"/>
      <w:r w:rsidRPr="00135DC1">
        <w:rPr>
          <w:rFonts w:ascii="Times New Roman" w:hAnsi="Times New Roman" w:cs="Times New Roman"/>
        </w:rPr>
        <w:t>спецплощадках</w:t>
      </w:r>
      <w:proofErr w:type="spellEnd"/>
      <w:r w:rsidRPr="00135DC1">
        <w:rPr>
          <w:rFonts w:ascii="Times New Roman" w:hAnsi="Times New Roman" w:cs="Times New Roman"/>
        </w:rPr>
        <w:t>, реже на о</w:t>
      </w:r>
      <w:r w:rsidR="00483B7F" w:rsidRPr="00135DC1">
        <w:rPr>
          <w:rFonts w:ascii="Times New Roman" w:hAnsi="Times New Roman" w:cs="Times New Roman"/>
        </w:rPr>
        <w:t>бъектах хранения отходов за пре</w:t>
      </w:r>
      <w:r w:rsidRPr="00135DC1">
        <w:rPr>
          <w:rFonts w:ascii="Times New Roman" w:hAnsi="Times New Roman" w:cs="Times New Roman"/>
        </w:rPr>
        <w:t xml:space="preserve">делами предприятий. </w:t>
      </w:r>
      <w:proofErr w:type="gramEnd"/>
    </w:p>
    <w:p w:rsidR="00B744AA" w:rsidRPr="00135DC1" w:rsidRDefault="00B744AA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35DC1">
        <w:rPr>
          <w:rFonts w:ascii="Times New Roman" w:hAnsi="Times New Roman" w:cs="Times New Roman"/>
        </w:rPr>
        <w:t>Характерными отходами 1</w:t>
      </w:r>
      <w:r w:rsidR="00B155B2" w:rsidRPr="00135DC1">
        <w:rPr>
          <w:rFonts w:ascii="Times New Roman" w:hAnsi="Times New Roman" w:cs="Times New Roman"/>
        </w:rPr>
        <w:t xml:space="preserve"> класса опасности для большинст</w:t>
      </w:r>
      <w:r w:rsidRPr="00135DC1">
        <w:rPr>
          <w:rFonts w:ascii="Times New Roman" w:hAnsi="Times New Roman" w:cs="Times New Roman"/>
        </w:rPr>
        <w:t>ва предприятий являются от</w:t>
      </w:r>
      <w:r w:rsidR="00B155B2" w:rsidRPr="00135DC1">
        <w:rPr>
          <w:rFonts w:ascii="Times New Roman" w:hAnsi="Times New Roman" w:cs="Times New Roman"/>
        </w:rPr>
        <w:t>работанные ртутные лампы и люми</w:t>
      </w:r>
      <w:r w:rsidRPr="00135DC1">
        <w:rPr>
          <w:rFonts w:ascii="Times New Roman" w:hAnsi="Times New Roman" w:cs="Times New Roman"/>
        </w:rPr>
        <w:t xml:space="preserve">несцентные трубки. </w:t>
      </w:r>
      <w:proofErr w:type="gramStart"/>
      <w:r w:rsidRPr="00135DC1">
        <w:rPr>
          <w:rFonts w:ascii="Times New Roman" w:hAnsi="Times New Roman" w:cs="Times New Roman"/>
        </w:rPr>
        <w:t>На конец</w:t>
      </w:r>
      <w:proofErr w:type="gramEnd"/>
      <w:r w:rsidRPr="00135DC1">
        <w:rPr>
          <w:rFonts w:ascii="Times New Roman" w:hAnsi="Times New Roman" w:cs="Times New Roman"/>
        </w:rPr>
        <w:t xml:space="preserve"> 201</w:t>
      </w:r>
      <w:r w:rsidR="00911B76" w:rsidRPr="00135DC1">
        <w:rPr>
          <w:rFonts w:ascii="Times New Roman" w:hAnsi="Times New Roman" w:cs="Times New Roman"/>
        </w:rPr>
        <w:t>5</w:t>
      </w:r>
      <w:r w:rsidRPr="00135DC1">
        <w:rPr>
          <w:rFonts w:ascii="Times New Roman" w:hAnsi="Times New Roman" w:cs="Times New Roman"/>
        </w:rPr>
        <w:t xml:space="preserve"> г. на предприятиях хранилось свыше 1,</w:t>
      </w:r>
      <w:r w:rsidR="00911B76" w:rsidRPr="00135DC1">
        <w:rPr>
          <w:rFonts w:ascii="Times New Roman" w:hAnsi="Times New Roman" w:cs="Times New Roman"/>
        </w:rPr>
        <w:t>7</w:t>
      </w:r>
      <w:r w:rsidRPr="00135DC1">
        <w:rPr>
          <w:rFonts w:ascii="Times New Roman" w:hAnsi="Times New Roman" w:cs="Times New Roman"/>
        </w:rPr>
        <w:t>5 млн</w:t>
      </w:r>
      <w:r w:rsidR="00B155B2" w:rsidRPr="00135DC1">
        <w:rPr>
          <w:rFonts w:ascii="Times New Roman" w:hAnsi="Times New Roman" w:cs="Times New Roman"/>
        </w:rPr>
        <w:t>.</w:t>
      </w:r>
      <w:r w:rsidRPr="00135DC1">
        <w:rPr>
          <w:rFonts w:ascii="Times New Roman" w:hAnsi="Times New Roman" w:cs="Times New Roman"/>
        </w:rPr>
        <w:t xml:space="preserve"> штук отработанных ртутных ламп и люминесцентных трубок. </w:t>
      </w:r>
    </w:p>
    <w:p w:rsidR="00B744AA" w:rsidRPr="00135DC1" w:rsidRDefault="00B744AA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35DC1">
        <w:rPr>
          <w:rFonts w:ascii="Times New Roman" w:hAnsi="Times New Roman" w:cs="Times New Roman"/>
        </w:rPr>
        <w:t>Среди отходов 3 класса о</w:t>
      </w:r>
      <w:r w:rsidR="00B155B2" w:rsidRPr="00135DC1">
        <w:rPr>
          <w:rFonts w:ascii="Times New Roman" w:hAnsi="Times New Roman" w:cs="Times New Roman"/>
        </w:rPr>
        <w:t>пасности, хранящихся на предпри</w:t>
      </w:r>
      <w:r w:rsidRPr="00135DC1">
        <w:rPr>
          <w:rFonts w:ascii="Times New Roman" w:hAnsi="Times New Roman" w:cs="Times New Roman"/>
        </w:rPr>
        <w:t xml:space="preserve">ятиях, объем которых составил </w:t>
      </w:r>
      <w:r w:rsidR="00911B76" w:rsidRPr="00135DC1">
        <w:rPr>
          <w:rFonts w:ascii="Times New Roman" w:hAnsi="Times New Roman" w:cs="Times New Roman"/>
        </w:rPr>
        <w:t>около 7275,1</w:t>
      </w:r>
      <w:r w:rsidRPr="00135DC1">
        <w:rPr>
          <w:rFonts w:ascii="Times New Roman" w:hAnsi="Times New Roman" w:cs="Times New Roman"/>
        </w:rPr>
        <w:t xml:space="preserve"> тыс.</w:t>
      </w:r>
      <w:r w:rsidR="006D2F04" w:rsidRPr="00135DC1">
        <w:rPr>
          <w:rFonts w:ascii="Times New Roman" w:hAnsi="Times New Roman" w:cs="Times New Roman"/>
        </w:rPr>
        <w:t> </w:t>
      </w:r>
      <w:r w:rsidRPr="00135DC1">
        <w:rPr>
          <w:rFonts w:ascii="Times New Roman" w:hAnsi="Times New Roman" w:cs="Times New Roman"/>
        </w:rPr>
        <w:t>т, преобладают: лигнин гидролизный; зола, шлаки и пыл</w:t>
      </w:r>
      <w:r w:rsidR="00B155B2" w:rsidRPr="00135DC1">
        <w:rPr>
          <w:rFonts w:ascii="Times New Roman" w:hAnsi="Times New Roman" w:cs="Times New Roman"/>
        </w:rPr>
        <w:t>ь от термической обработки отхо</w:t>
      </w:r>
      <w:r w:rsidRPr="00135DC1">
        <w:rPr>
          <w:rFonts w:ascii="Times New Roman" w:hAnsi="Times New Roman" w:cs="Times New Roman"/>
        </w:rPr>
        <w:t>дов и от топочных установок; шламы минеральных масел, остатки, содержащие нефтепродукты; оста</w:t>
      </w:r>
      <w:r w:rsidR="00B155B2" w:rsidRPr="00135DC1">
        <w:rPr>
          <w:rFonts w:ascii="Times New Roman" w:hAnsi="Times New Roman" w:cs="Times New Roman"/>
        </w:rPr>
        <w:t>тки серы; отходы резиносодер</w:t>
      </w:r>
      <w:r w:rsidRPr="00135DC1">
        <w:rPr>
          <w:rFonts w:ascii="Times New Roman" w:hAnsi="Times New Roman" w:cs="Times New Roman"/>
        </w:rPr>
        <w:t xml:space="preserve">жащие, включая </w:t>
      </w:r>
      <w:r w:rsidRPr="00135DC1">
        <w:rPr>
          <w:rFonts w:ascii="Times New Roman" w:hAnsi="Times New Roman" w:cs="Times New Roman"/>
        </w:rPr>
        <w:lastRenderedPageBreak/>
        <w:t xml:space="preserve">старые шины; </w:t>
      </w:r>
      <w:r w:rsidR="00B155B2" w:rsidRPr="00135DC1">
        <w:rPr>
          <w:rFonts w:ascii="Times New Roman" w:hAnsi="Times New Roman" w:cs="Times New Roman"/>
        </w:rPr>
        <w:t xml:space="preserve">осадки </w:t>
      </w:r>
      <w:proofErr w:type="spellStart"/>
      <w:r w:rsidR="00B155B2" w:rsidRPr="00135DC1">
        <w:rPr>
          <w:rFonts w:ascii="Times New Roman" w:hAnsi="Times New Roman" w:cs="Times New Roman"/>
        </w:rPr>
        <w:t>химводоподготовки</w:t>
      </w:r>
      <w:proofErr w:type="spellEnd"/>
      <w:r w:rsidR="00B155B2" w:rsidRPr="00135DC1">
        <w:rPr>
          <w:rFonts w:ascii="Times New Roman" w:hAnsi="Times New Roman" w:cs="Times New Roman"/>
        </w:rPr>
        <w:t>; отбро</w:t>
      </w:r>
      <w:r w:rsidRPr="00135DC1">
        <w:rPr>
          <w:rFonts w:ascii="Times New Roman" w:hAnsi="Times New Roman" w:cs="Times New Roman"/>
        </w:rPr>
        <w:t>сы с решеток; осадки сооружени</w:t>
      </w:r>
      <w:r w:rsidR="00B155B2" w:rsidRPr="00135DC1">
        <w:rPr>
          <w:rFonts w:ascii="Times New Roman" w:hAnsi="Times New Roman" w:cs="Times New Roman"/>
        </w:rPr>
        <w:t>й биологической очистки хозяйст</w:t>
      </w:r>
      <w:r w:rsidRPr="00135DC1">
        <w:rPr>
          <w:rFonts w:ascii="Times New Roman" w:hAnsi="Times New Roman" w:cs="Times New Roman"/>
        </w:rPr>
        <w:t>венно</w:t>
      </w:r>
      <w:r w:rsidR="008F1068" w:rsidRPr="00135DC1">
        <w:rPr>
          <w:rFonts w:ascii="Times New Roman" w:hAnsi="Times New Roman" w:cs="Times New Roman"/>
        </w:rPr>
        <w:t>–</w:t>
      </w:r>
      <w:r w:rsidRPr="00135DC1">
        <w:rPr>
          <w:rFonts w:ascii="Times New Roman" w:hAnsi="Times New Roman" w:cs="Times New Roman"/>
        </w:rPr>
        <w:t>фекальных сточных вод;</w:t>
      </w:r>
      <w:proofErr w:type="gramEnd"/>
      <w:r w:rsidRPr="00135DC1">
        <w:rPr>
          <w:rFonts w:ascii="Times New Roman" w:hAnsi="Times New Roman" w:cs="Times New Roman"/>
        </w:rPr>
        <w:t xml:space="preserve"> шламы и осадки гальванических производств; шлам цинкосодержащий; шлам серный</w:t>
      </w:r>
      <w:r w:rsidR="00B155B2" w:rsidRPr="00135DC1">
        <w:rPr>
          <w:rFonts w:ascii="Times New Roman" w:hAnsi="Times New Roman" w:cs="Times New Roman"/>
        </w:rPr>
        <w:t xml:space="preserve">, известь </w:t>
      </w:r>
      <w:proofErr w:type="spellStart"/>
      <w:r w:rsidR="00B155B2" w:rsidRPr="00135DC1">
        <w:rPr>
          <w:rFonts w:ascii="Times New Roman" w:hAnsi="Times New Roman" w:cs="Times New Roman"/>
        </w:rPr>
        <w:t>не</w:t>
      </w:r>
      <w:r w:rsidRPr="00135DC1">
        <w:rPr>
          <w:rFonts w:ascii="Times New Roman" w:hAnsi="Times New Roman" w:cs="Times New Roman"/>
        </w:rPr>
        <w:t>допал</w:t>
      </w:r>
      <w:proofErr w:type="spellEnd"/>
      <w:r w:rsidRPr="00135DC1">
        <w:rPr>
          <w:rFonts w:ascii="Times New Roman" w:hAnsi="Times New Roman" w:cs="Times New Roman"/>
        </w:rPr>
        <w:t xml:space="preserve">, осадок сухой. </w:t>
      </w:r>
    </w:p>
    <w:p w:rsidR="00B744AA" w:rsidRPr="00135DC1" w:rsidRDefault="00B744AA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35DC1">
        <w:rPr>
          <w:rFonts w:ascii="Times New Roman" w:hAnsi="Times New Roman" w:cs="Times New Roman"/>
        </w:rPr>
        <w:t xml:space="preserve">Объем накопления лигнина гидролизного </w:t>
      </w:r>
      <w:proofErr w:type="gramStart"/>
      <w:r w:rsidRPr="00135DC1">
        <w:rPr>
          <w:rFonts w:ascii="Times New Roman" w:hAnsi="Times New Roman" w:cs="Times New Roman"/>
        </w:rPr>
        <w:t>на конец</w:t>
      </w:r>
      <w:proofErr w:type="gramEnd"/>
      <w:r w:rsidRPr="00135DC1">
        <w:rPr>
          <w:rFonts w:ascii="Times New Roman" w:hAnsi="Times New Roman" w:cs="Times New Roman"/>
        </w:rPr>
        <w:t xml:space="preserve"> 201</w:t>
      </w:r>
      <w:r w:rsidR="00911B76" w:rsidRPr="00135DC1">
        <w:rPr>
          <w:rFonts w:ascii="Times New Roman" w:hAnsi="Times New Roman" w:cs="Times New Roman"/>
        </w:rPr>
        <w:t>5</w:t>
      </w:r>
      <w:r w:rsidRPr="00135DC1">
        <w:rPr>
          <w:rFonts w:ascii="Times New Roman" w:hAnsi="Times New Roman" w:cs="Times New Roman"/>
        </w:rPr>
        <w:t xml:space="preserve"> г., составил </w:t>
      </w:r>
      <w:r w:rsidR="00911B76" w:rsidRPr="00135DC1">
        <w:rPr>
          <w:rFonts w:ascii="Times New Roman" w:hAnsi="Times New Roman" w:cs="Times New Roman"/>
        </w:rPr>
        <w:t>2389,5</w:t>
      </w:r>
      <w:r w:rsidRPr="00135DC1">
        <w:rPr>
          <w:rFonts w:ascii="Times New Roman" w:hAnsi="Times New Roman" w:cs="Times New Roman"/>
        </w:rPr>
        <w:t xml:space="preserve"> тыс.</w:t>
      </w:r>
      <w:r w:rsidR="006D2F04" w:rsidRPr="00135DC1">
        <w:rPr>
          <w:rFonts w:ascii="Times New Roman" w:hAnsi="Times New Roman" w:cs="Times New Roman"/>
        </w:rPr>
        <w:t> </w:t>
      </w:r>
      <w:r w:rsidRPr="00135DC1">
        <w:rPr>
          <w:rFonts w:ascii="Times New Roman" w:hAnsi="Times New Roman" w:cs="Times New Roman"/>
        </w:rPr>
        <w:t>т или окол</w:t>
      </w:r>
      <w:r w:rsidR="00B155B2" w:rsidRPr="00135DC1">
        <w:rPr>
          <w:rFonts w:ascii="Times New Roman" w:hAnsi="Times New Roman" w:cs="Times New Roman"/>
        </w:rPr>
        <w:t>о 3</w:t>
      </w:r>
      <w:r w:rsidR="00911B76" w:rsidRPr="00135DC1">
        <w:rPr>
          <w:rFonts w:ascii="Times New Roman" w:hAnsi="Times New Roman" w:cs="Times New Roman"/>
        </w:rPr>
        <w:t>3</w:t>
      </w:r>
      <w:r w:rsidR="00B155B2" w:rsidRPr="00135DC1">
        <w:rPr>
          <w:rFonts w:ascii="Times New Roman" w:hAnsi="Times New Roman" w:cs="Times New Roman"/>
        </w:rPr>
        <w:t>% от объема накопления отхо</w:t>
      </w:r>
      <w:r w:rsidRPr="00135DC1">
        <w:rPr>
          <w:rFonts w:ascii="Times New Roman" w:hAnsi="Times New Roman" w:cs="Times New Roman"/>
        </w:rPr>
        <w:t xml:space="preserve">дов 3 класса опасности. </w:t>
      </w:r>
    </w:p>
    <w:p w:rsidR="00B744AA" w:rsidRPr="00135DC1" w:rsidRDefault="00B744AA" w:rsidP="00A3463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35DC1">
        <w:rPr>
          <w:rFonts w:ascii="Times New Roman" w:hAnsi="Times New Roman" w:cs="Times New Roman"/>
          <w:b/>
          <w:bCs/>
          <w:i/>
          <w:iCs/>
        </w:rPr>
        <w:t xml:space="preserve">Захоронение отходов производства </w:t>
      </w:r>
    </w:p>
    <w:p w:rsidR="00B744AA" w:rsidRPr="00135DC1" w:rsidRDefault="00B744AA" w:rsidP="00A34632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35DC1">
        <w:rPr>
          <w:rFonts w:ascii="Times New Roman" w:hAnsi="Times New Roman" w:cs="Times New Roman"/>
        </w:rPr>
        <w:t>Из общего объема образовавшихся в 201</w:t>
      </w:r>
      <w:r w:rsidR="00911B76" w:rsidRPr="00135DC1">
        <w:rPr>
          <w:rFonts w:ascii="Times New Roman" w:hAnsi="Times New Roman" w:cs="Times New Roman"/>
        </w:rPr>
        <w:t>5</w:t>
      </w:r>
      <w:r w:rsidRPr="00135DC1">
        <w:rPr>
          <w:rFonts w:ascii="Times New Roman" w:hAnsi="Times New Roman" w:cs="Times New Roman"/>
        </w:rPr>
        <w:t xml:space="preserve"> г. от</w:t>
      </w:r>
      <w:r w:rsidR="00B155B2" w:rsidRPr="00135DC1">
        <w:rPr>
          <w:rFonts w:ascii="Times New Roman" w:hAnsi="Times New Roman" w:cs="Times New Roman"/>
        </w:rPr>
        <w:t>ходов произ</w:t>
      </w:r>
      <w:r w:rsidRPr="00135DC1">
        <w:rPr>
          <w:rFonts w:ascii="Times New Roman" w:hAnsi="Times New Roman" w:cs="Times New Roman"/>
        </w:rPr>
        <w:t>водства захоронено 1</w:t>
      </w:r>
      <w:r w:rsidR="00911B76" w:rsidRPr="00135DC1">
        <w:rPr>
          <w:rFonts w:ascii="Times New Roman" w:hAnsi="Times New Roman" w:cs="Times New Roman"/>
        </w:rPr>
        <w:t>278</w:t>
      </w:r>
      <w:r w:rsidRPr="00135DC1">
        <w:rPr>
          <w:rFonts w:ascii="Times New Roman" w:hAnsi="Times New Roman" w:cs="Times New Roman"/>
        </w:rPr>
        <w:t xml:space="preserve"> тыс.</w:t>
      </w:r>
      <w:r w:rsidR="006D2F04" w:rsidRPr="00135DC1">
        <w:rPr>
          <w:rFonts w:ascii="Times New Roman" w:hAnsi="Times New Roman" w:cs="Times New Roman"/>
        </w:rPr>
        <w:t> </w:t>
      </w:r>
      <w:r w:rsidRPr="00135DC1">
        <w:rPr>
          <w:rFonts w:ascii="Times New Roman" w:hAnsi="Times New Roman" w:cs="Times New Roman"/>
        </w:rPr>
        <w:t xml:space="preserve">т, остались неиспользованными </w:t>
      </w:r>
      <w:r w:rsidR="00911B76" w:rsidRPr="00135DC1">
        <w:rPr>
          <w:rFonts w:ascii="Times New Roman" w:hAnsi="Times New Roman" w:cs="Times New Roman"/>
        </w:rPr>
        <w:t>5263,5</w:t>
      </w:r>
      <w:r w:rsidRPr="00135DC1">
        <w:rPr>
          <w:rFonts w:ascii="Times New Roman" w:hAnsi="Times New Roman" w:cs="Times New Roman"/>
        </w:rPr>
        <w:t xml:space="preserve"> тыс.</w:t>
      </w:r>
      <w:r w:rsidR="006D2F04" w:rsidRPr="00135DC1">
        <w:rPr>
          <w:rFonts w:ascii="Times New Roman" w:hAnsi="Times New Roman" w:cs="Times New Roman"/>
        </w:rPr>
        <w:t> </w:t>
      </w:r>
      <w:r w:rsidRPr="00135DC1">
        <w:rPr>
          <w:rFonts w:ascii="Times New Roman" w:hAnsi="Times New Roman" w:cs="Times New Roman"/>
        </w:rPr>
        <w:t xml:space="preserve">т (без учета крупнотоннажных отходов). </w:t>
      </w:r>
    </w:p>
    <w:p w:rsidR="00911B76" w:rsidRPr="00135DC1" w:rsidRDefault="00B744AA" w:rsidP="00A3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C1">
        <w:rPr>
          <w:rFonts w:ascii="Times New Roman" w:hAnsi="Times New Roman" w:cs="Times New Roman"/>
          <w:sz w:val="24"/>
          <w:szCs w:val="24"/>
        </w:rPr>
        <w:t>Часть неиспользованных отходов 3 и 4 классов опасности вывозится на захоронение. В 201</w:t>
      </w:r>
      <w:r w:rsidR="00911B76" w:rsidRPr="00135DC1">
        <w:rPr>
          <w:rFonts w:ascii="Times New Roman" w:hAnsi="Times New Roman" w:cs="Times New Roman"/>
          <w:sz w:val="24"/>
          <w:szCs w:val="24"/>
        </w:rPr>
        <w:t>5</w:t>
      </w:r>
      <w:r w:rsidRPr="00135DC1">
        <w:rPr>
          <w:rFonts w:ascii="Times New Roman" w:hAnsi="Times New Roman" w:cs="Times New Roman"/>
          <w:sz w:val="24"/>
          <w:szCs w:val="24"/>
        </w:rPr>
        <w:t xml:space="preserve"> г. захоронено </w:t>
      </w:r>
      <w:r w:rsidR="00911B76" w:rsidRPr="00135DC1">
        <w:rPr>
          <w:rFonts w:ascii="Times New Roman" w:hAnsi="Times New Roman" w:cs="Times New Roman"/>
          <w:sz w:val="24"/>
          <w:szCs w:val="24"/>
        </w:rPr>
        <w:t>388,8</w:t>
      </w:r>
      <w:r w:rsidRPr="00135DC1">
        <w:rPr>
          <w:rFonts w:ascii="Times New Roman" w:hAnsi="Times New Roman" w:cs="Times New Roman"/>
          <w:sz w:val="24"/>
          <w:szCs w:val="24"/>
        </w:rPr>
        <w:t xml:space="preserve">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 xml:space="preserve">т отходов 4 класса опасности и </w:t>
      </w:r>
      <w:r w:rsidR="00911B76" w:rsidRPr="00135DC1">
        <w:rPr>
          <w:rFonts w:ascii="Times New Roman" w:hAnsi="Times New Roman" w:cs="Times New Roman"/>
          <w:sz w:val="24"/>
          <w:szCs w:val="24"/>
        </w:rPr>
        <w:t>99,3</w:t>
      </w:r>
      <w:r w:rsidRPr="00135DC1">
        <w:rPr>
          <w:rFonts w:ascii="Times New Roman" w:hAnsi="Times New Roman" w:cs="Times New Roman"/>
          <w:sz w:val="24"/>
          <w:szCs w:val="24"/>
        </w:rPr>
        <w:t xml:space="preserve">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 xml:space="preserve">т отходов 3 класса опасности. </w:t>
      </w:r>
    </w:p>
    <w:p w:rsidR="00911B76" w:rsidRPr="00135DC1" w:rsidRDefault="00911B76" w:rsidP="00A346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DC1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Pr="00135DC1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135DC1">
        <w:rPr>
          <w:rFonts w:ascii="Times New Roman" w:hAnsi="Times New Roman" w:cs="Times New Roman"/>
          <w:sz w:val="24"/>
          <w:szCs w:val="24"/>
        </w:rPr>
        <w:t xml:space="preserve"> отходов 3</w:t>
      </w:r>
      <w:r w:rsidR="008F1068" w:rsidRPr="00135DC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35DC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5DC1">
        <w:rPr>
          <w:rFonts w:ascii="Times New Roman" w:hAnsi="Times New Roman" w:cs="Times New Roman"/>
          <w:sz w:val="24"/>
          <w:szCs w:val="24"/>
        </w:rPr>
        <w:t xml:space="preserve"> класса преобладают кизельгур (глина фильтрационная) (2,3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отходы масличных семян (1,6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древесные отходы производственного потребления (7,7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отходы бумаги и картона, главным образом в виде упаковочного материала с вредными загрязнениями (4,1 тыс.</w:t>
      </w:r>
      <w:r w:rsidR="002D1201" w:rsidRPr="00135DC1">
        <w:rPr>
          <w:rFonts w:ascii="Times New Roman" w:hAnsi="Times New Roman" w:cs="Times New Roman"/>
          <w:sz w:val="24"/>
          <w:szCs w:val="24"/>
        </w:rPr>
        <w:t xml:space="preserve"> т); зола, </w:t>
      </w:r>
      <w:r w:rsidRPr="00135DC1">
        <w:rPr>
          <w:rFonts w:ascii="Times New Roman" w:hAnsi="Times New Roman" w:cs="Times New Roman"/>
          <w:sz w:val="24"/>
          <w:szCs w:val="24"/>
        </w:rPr>
        <w:t>шлак и пыль от термической обработки отходов и топочных установок (30,1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</w:t>
      </w:r>
      <w:proofErr w:type="gramEnd"/>
      <w:r w:rsidR="006D2F04" w:rsidRPr="00135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5DC1">
        <w:rPr>
          <w:rFonts w:ascii="Times New Roman" w:hAnsi="Times New Roman" w:cs="Times New Roman"/>
          <w:sz w:val="24"/>
          <w:szCs w:val="24"/>
        </w:rPr>
        <w:t>отходы изделий теплоизоляционных асбестосодержащих (1,0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асбоцементный шлам (0,9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="009B0CA4" w:rsidRPr="00135DC1">
        <w:rPr>
          <w:rFonts w:ascii="Times New Roman" w:hAnsi="Times New Roman" w:cs="Times New Roman"/>
          <w:sz w:val="24"/>
          <w:szCs w:val="24"/>
        </w:rPr>
        <w:t>т);</w:t>
      </w:r>
      <w:r w:rsidRPr="00135DC1">
        <w:rPr>
          <w:rFonts w:ascii="Times New Roman" w:hAnsi="Times New Roman" w:cs="Times New Roman"/>
          <w:sz w:val="24"/>
          <w:szCs w:val="24"/>
        </w:rPr>
        <w:t xml:space="preserve"> отходы извести (2,1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шламы гальванические (1,7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отходы ЛКМ, отходы клеев, клеящих веществ, смол (2,9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отходы пластмасс (8,8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отходы стеклопластика (0,5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="002D1201" w:rsidRPr="00135DC1">
        <w:rPr>
          <w:rFonts w:ascii="Times New Roman" w:hAnsi="Times New Roman" w:cs="Times New Roman"/>
          <w:sz w:val="24"/>
          <w:szCs w:val="24"/>
        </w:rPr>
        <w:t xml:space="preserve">т); текстиль загрязненный (3,9 </w:t>
      </w:r>
      <w:r w:rsidRPr="00135DC1">
        <w:rPr>
          <w:rFonts w:ascii="Times New Roman" w:hAnsi="Times New Roman" w:cs="Times New Roman"/>
          <w:sz w:val="24"/>
          <w:szCs w:val="24"/>
        </w:rPr>
        <w:t>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 отбросы с решеток (4,1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 xml:space="preserve">т), осадки </w:t>
      </w:r>
      <w:proofErr w:type="spellStart"/>
      <w:r w:rsidRPr="00135DC1">
        <w:rPr>
          <w:rFonts w:ascii="Times New Roman" w:hAnsi="Times New Roman" w:cs="Times New Roman"/>
          <w:sz w:val="24"/>
          <w:szCs w:val="24"/>
        </w:rPr>
        <w:t>химводоподготовки</w:t>
      </w:r>
      <w:proofErr w:type="spellEnd"/>
      <w:r w:rsidRPr="00135DC1">
        <w:rPr>
          <w:rFonts w:ascii="Times New Roman" w:hAnsi="Times New Roman" w:cs="Times New Roman"/>
          <w:sz w:val="24"/>
          <w:szCs w:val="24"/>
        </w:rPr>
        <w:t xml:space="preserve"> (2,6 тыс.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>т);</w:t>
      </w:r>
      <w:proofErr w:type="gramEnd"/>
      <w:r w:rsidRPr="00135DC1">
        <w:rPr>
          <w:rFonts w:ascii="Times New Roman" w:hAnsi="Times New Roman" w:cs="Times New Roman"/>
          <w:sz w:val="24"/>
          <w:szCs w:val="24"/>
        </w:rPr>
        <w:t xml:space="preserve"> и др. В целом </w:t>
      </w:r>
      <w:proofErr w:type="spellStart"/>
      <w:r w:rsidRPr="00135DC1">
        <w:rPr>
          <w:rFonts w:ascii="Times New Roman" w:hAnsi="Times New Roman" w:cs="Times New Roman"/>
          <w:sz w:val="24"/>
          <w:szCs w:val="24"/>
        </w:rPr>
        <w:t>захоранивается</w:t>
      </w:r>
      <w:proofErr w:type="spellEnd"/>
      <w:r w:rsidRPr="00135DC1">
        <w:rPr>
          <w:rFonts w:ascii="Times New Roman" w:hAnsi="Times New Roman" w:cs="Times New Roman"/>
          <w:sz w:val="24"/>
          <w:szCs w:val="24"/>
        </w:rPr>
        <w:t xml:space="preserve"> 528</w:t>
      </w:r>
      <w:r w:rsidR="0021778F" w:rsidRPr="00135DC1">
        <w:rPr>
          <w:rFonts w:ascii="Times New Roman" w:hAnsi="Times New Roman" w:cs="Times New Roman"/>
          <w:sz w:val="24"/>
          <w:szCs w:val="24"/>
        </w:rPr>
        <w:t xml:space="preserve"> </w:t>
      </w:r>
      <w:r w:rsidRPr="00135DC1">
        <w:rPr>
          <w:rFonts w:ascii="Times New Roman" w:hAnsi="Times New Roman" w:cs="Times New Roman"/>
          <w:sz w:val="24"/>
          <w:szCs w:val="24"/>
        </w:rPr>
        <w:t>наименовани</w:t>
      </w:r>
      <w:r w:rsidR="009735C3" w:rsidRPr="00135DC1">
        <w:rPr>
          <w:rFonts w:ascii="Times New Roman" w:hAnsi="Times New Roman" w:cs="Times New Roman"/>
          <w:sz w:val="24"/>
          <w:szCs w:val="24"/>
        </w:rPr>
        <w:t>й</w:t>
      </w:r>
      <w:r w:rsidRPr="00135DC1">
        <w:rPr>
          <w:rFonts w:ascii="Times New Roman" w:hAnsi="Times New Roman" w:cs="Times New Roman"/>
          <w:sz w:val="24"/>
          <w:szCs w:val="24"/>
        </w:rPr>
        <w:t xml:space="preserve"> отходов 3</w:t>
      </w:r>
      <w:r w:rsidR="008F1068" w:rsidRPr="00135DC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35DC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5DC1">
        <w:rPr>
          <w:rFonts w:ascii="Times New Roman" w:hAnsi="Times New Roman" w:cs="Times New Roman"/>
          <w:sz w:val="24"/>
          <w:szCs w:val="24"/>
        </w:rPr>
        <w:t xml:space="preserve"> класса опасности с различным химическим составом и опасными свойствами.</w:t>
      </w:r>
    </w:p>
    <w:p w:rsidR="00B744AA" w:rsidRPr="00135DC1" w:rsidRDefault="00B744AA" w:rsidP="00135DC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35DC1">
        <w:rPr>
          <w:rFonts w:ascii="Times New Roman" w:hAnsi="Times New Roman" w:cs="Times New Roman"/>
          <w:b/>
          <w:bCs/>
          <w:i/>
          <w:iCs/>
        </w:rPr>
        <w:t xml:space="preserve">Захоронение коммунальных отходов </w:t>
      </w:r>
    </w:p>
    <w:p w:rsidR="00B744AA" w:rsidRPr="00135DC1" w:rsidRDefault="00B744AA" w:rsidP="00135DC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35DC1">
        <w:rPr>
          <w:rFonts w:ascii="Times New Roman" w:hAnsi="Times New Roman" w:cs="Times New Roman"/>
        </w:rPr>
        <w:t>Данные по вывозу комму</w:t>
      </w:r>
      <w:r w:rsidR="00186F4A" w:rsidRPr="00135DC1">
        <w:rPr>
          <w:rFonts w:ascii="Times New Roman" w:hAnsi="Times New Roman" w:cs="Times New Roman"/>
        </w:rPr>
        <w:t>нальных отходов с территории на</w:t>
      </w:r>
      <w:r w:rsidRPr="00135DC1">
        <w:rPr>
          <w:rFonts w:ascii="Times New Roman" w:hAnsi="Times New Roman" w:cs="Times New Roman"/>
        </w:rPr>
        <w:t>селенных пунктов в 201</w:t>
      </w:r>
      <w:r w:rsidR="00911B76" w:rsidRPr="00135DC1">
        <w:rPr>
          <w:rFonts w:ascii="Times New Roman" w:hAnsi="Times New Roman" w:cs="Times New Roman"/>
        </w:rPr>
        <w:t>5</w:t>
      </w:r>
      <w:r w:rsidRPr="00135DC1">
        <w:rPr>
          <w:rFonts w:ascii="Times New Roman" w:hAnsi="Times New Roman" w:cs="Times New Roman"/>
        </w:rPr>
        <w:t xml:space="preserve"> г. приведены в таблице 1</w:t>
      </w:r>
      <w:r w:rsidR="00462D9D" w:rsidRPr="00462D9D">
        <w:rPr>
          <w:rFonts w:ascii="Times New Roman" w:hAnsi="Times New Roman" w:cs="Times New Roman"/>
        </w:rPr>
        <w:t>1</w:t>
      </w:r>
      <w:r w:rsidRPr="00135DC1">
        <w:rPr>
          <w:rFonts w:ascii="Times New Roman" w:hAnsi="Times New Roman" w:cs="Times New Roman"/>
        </w:rPr>
        <w:t>.</w:t>
      </w:r>
      <w:r w:rsidR="009B0CA4" w:rsidRPr="00135DC1">
        <w:rPr>
          <w:rFonts w:ascii="Times New Roman" w:hAnsi="Times New Roman" w:cs="Times New Roman"/>
        </w:rPr>
        <w:t>7</w:t>
      </w:r>
      <w:r w:rsidR="00F97D61" w:rsidRPr="00135DC1">
        <w:rPr>
          <w:rFonts w:ascii="Times New Roman" w:hAnsi="Times New Roman" w:cs="Times New Roman"/>
        </w:rPr>
        <w:t>.</w:t>
      </w:r>
    </w:p>
    <w:p w:rsidR="00B744AA" w:rsidRPr="00135DC1" w:rsidRDefault="00B744AA" w:rsidP="00135DC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35DC1">
        <w:rPr>
          <w:rFonts w:ascii="Times New Roman" w:hAnsi="Times New Roman" w:cs="Times New Roman"/>
        </w:rPr>
        <w:t>Коммунальные отходы захораниваются на полигонах ТКО (порядка 90,4%) и на мини</w:t>
      </w:r>
      <w:r w:rsidR="008F1068" w:rsidRPr="00135DC1">
        <w:rPr>
          <w:rFonts w:ascii="Times New Roman" w:hAnsi="Times New Roman" w:cs="Times New Roman"/>
        </w:rPr>
        <w:t>–</w:t>
      </w:r>
      <w:r w:rsidRPr="00135DC1">
        <w:rPr>
          <w:rFonts w:ascii="Times New Roman" w:hAnsi="Times New Roman" w:cs="Times New Roman"/>
        </w:rPr>
        <w:t xml:space="preserve">полигонах. Как указано выше, на полигоны ТКО наряду с </w:t>
      </w:r>
      <w:proofErr w:type="gramStart"/>
      <w:r w:rsidRPr="00135DC1">
        <w:rPr>
          <w:rFonts w:ascii="Times New Roman" w:hAnsi="Times New Roman" w:cs="Times New Roman"/>
        </w:rPr>
        <w:t>коммунальными</w:t>
      </w:r>
      <w:proofErr w:type="gramEnd"/>
      <w:r w:rsidRPr="00135DC1">
        <w:rPr>
          <w:rFonts w:ascii="Times New Roman" w:hAnsi="Times New Roman" w:cs="Times New Roman"/>
        </w:rPr>
        <w:t xml:space="preserve"> вывозятся некоторые отходы производства: неопасные и 3–4 классов опасности. </w:t>
      </w:r>
    </w:p>
    <w:p w:rsidR="000F3B57" w:rsidRPr="00135DC1" w:rsidRDefault="00B744AA" w:rsidP="00135D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DC1">
        <w:rPr>
          <w:rFonts w:ascii="Times New Roman" w:hAnsi="Times New Roman" w:cs="Times New Roman"/>
          <w:sz w:val="24"/>
          <w:szCs w:val="24"/>
        </w:rPr>
        <w:t xml:space="preserve">Всего в Беларуси </w:t>
      </w:r>
      <w:r w:rsidR="00EE5632" w:rsidRPr="00135DC1">
        <w:rPr>
          <w:rFonts w:ascii="Times New Roman" w:hAnsi="Times New Roman" w:cs="Times New Roman"/>
          <w:sz w:val="24"/>
          <w:szCs w:val="24"/>
        </w:rPr>
        <w:t xml:space="preserve">по состоянию на 01.01.2016 г </w:t>
      </w:r>
      <w:r w:rsidRPr="00135DC1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C20436" w:rsidRPr="00135DC1">
        <w:rPr>
          <w:rFonts w:ascii="Times New Roman" w:hAnsi="Times New Roman" w:cs="Times New Roman"/>
          <w:sz w:val="24"/>
          <w:szCs w:val="24"/>
        </w:rPr>
        <w:t>16</w:t>
      </w:r>
      <w:r w:rsidR="00EE5632" w:rsidRPr="00135DC1">
        <w:rPr>
          <w:rFonts w:ascii="Times New Roman" w:hAnsi="Times New Roman" w:cs="Times New Roman"/>
          <w:sz w:val="24"/>
          <w:szCs w:val="24"/>
        </w:rPr>
        <w:t>6</w:t>
      </w:r>
      <w:r w:rsidR="006D2F04" w:rsidRPr="00135DC1">
        <w:rPr>
          <w:rFonts w:ascii="Times New Roman" w:hAnsi="Times New Roman" w:cs="Times New Roman"/>
          <w:sz w:val="24"/>
          <w:szCs w:val="24"/>
        </w:rPr>
        <w:t> </w:t>
      </w:r>
      <w:r w:rsidRPr="00135DC1">
        <w:rPr>
          <w:rFonts w:ascii="Times New Roman" w:hAnsi="Times New Roman" w:cs="Times New Roman"/>
          <w:sz w:val="24"/>
          <w:szCs w:val="24"/>
        </w:rPr>
        <w:t xml:space="preserve">полигонов ТКО, которые обслуживают областные </w:t>
      </w:r>
      <w:r w:rsidR="00186F4A" w:rsidRPr="00135DC1">
        <w:rPr>
          <w:rFonts w:ascii="Times New Roman" w:hAnsi="Times New Roman" w:cs="Times New Roman"/>
          <w:sz w:val="24"/>
          <w:szCs w:val="24"/>
        </w:rPr>
        <w:t>и районные центры, а также круп</w:t>
      </w:r>
      <w:r w:rsidRPr="00135DC1">
        <w:rPr>
          <w:rFonts w:ascii="Times New Roman" w:hAnsi="Times New Roman" w:cs="Times New Roman"/>
          <w:sz w:val="24"/>
          <w:szCs w:val="24"/>
        </w:rPr>
        <w:t>ные поселки городского типа. В каждом районе имеется один, реже</w:t>
      </w:r>
      <w:r w:rsidR="000F3B57" w:rsidRPr="00135DC1">
        <w:rPr>
          <w:rFonts w:ascii="Times New Roman" w:hAnsi="Times New Roman" w:cs="Times New Roman"/>
          <w:sz w:val="24"/>
          <w:szCs w:val="24"/>
        </w:rPr>
        <w:t xml:space="preserve"> 2</w:t>
      </w:r>
      <w:r w:rsidR="008F1068" w:rsidRPr="00135DC1">
        <w:rPr>
          <w:rFonts w:ascii="Times New Roman" w:hAnsi="Times New Roman" w:cs="Times New Roman"/>
          <w:sz w:val="24"/>
          <w:szCs w:val="24"/>
        </w:rPr>
        <w:t>–</w:t>
      </w:r>
      <w:r w:rsidR="000F3B57" w:rsidRPr="00135DC1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0F3B57" w:rsidRPr="00135DC1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0F3B57" w:rsidRPr="00135DC1">
        <w:rPr>
          <w:rFonts w:ascii="Times New Roman" w:hAnsi="Times New Roman" w:cs="Times New Roman"/>
          <w:sz w:val="24"/>
          <w:szCs w:val="24"/>
        </w:rPr>
        <w:t xml:space="preserve"> полигона. Планово</w:t>
      </w:r>
      <w:r w:rsidR="008F1068" w:rsidRPr="00135DC1">
        <w:rPr>
          <w:rFonts w:ascii="Times New Roman" w:hAnsi="Times New Roman" w:cs="Times New Roman"/>
          <w:sz w:val="24"/>
          <w:szCs w:val="24"/>
        </w:rPr>
        <w:t>–</w:t>
      </w:r>
      <w:r w:rsidR="000F3B57" w:rsidRPr="00135DC1">
        <w:rPr>
          <w:rFonts w:ascii="Times New Roman" w:hAnsi="Times New Roman" w:cs="Times New Roman"/>
          <w:sz w:val="24"/>
          <w:szCs w:val="24"/>
        </w:rPr>
        <w:t>регулярным вывозом коммунальных отходов охвачены также все сел</w:t>
      </w:r>
      <w:r w:rsidR="00186F4A" w:rsidRPr="00135DC1">
        <w:rPr>
          <w:rFonts w:ascii="Times New Roman" w:hAnsi="Times New Roman" w:cs="Times New Roman"/>
          <w:sz w:val="24"/>
          <w:szCs w:val="24"/>
        </w:rPr>
        <w:t>ьские населенные пункты, для об</w:t>
      </w:r>
      <w:r w:rsidR="000F3B57" w:rsidRPr="00135DC1">
        <w:rPr>
          <w:rFonts w:ascii="Times New Roman" w:hAnsi="Times New Roman" w:cs="Times New Roman"/>
          <w:sz w:val="24"/>
          <w:szCs w:val="24"/>
        </w:rPr>
        <w:t>служивания которых созданы мини</w:t>
      </w:r>
      <w:r w:rsidR="008F1068" w:rsidRPr="00135DC1">
        <w:rPr>
          <w:rFonts w:ascii="Times New Roman" w:hAnsi="Times New Roman" w:cs="Times New Roman"/>
          <w:sz w:val="24"/>
          <w:szCs w:val="24"/>
        </w:rPr>
        <w:t>–</w:t>
      </w:r>
      <w:r w:rsidR="000F3B57" w:rsidRPr="00135DC1">
        <w:rPr>
          <w:rFonts w:ascii="Times New Roman" w:hAnsi="Times New Roman" w:cs="Times New Roman"/>
          <w:sz w:val="24"/>
          <w:szCs w:val="24"/>
        </w:rPr>
        <w:t>полигоны</w:t>
      </w:r>
      <w:r w:rsidR="00F97D61" w:rsidRPr="00135DC1">
        <w:rPr>
          <w:rFonts w:ascii="Times New Roman" w:hAnsi="Times New Roman" w:cs="Times New Roman"/>
          <w:sz w:val="24"/>
          <w:szCs w:val="24"/>
        </w:rPr>
        <w:t xml:space="preserve"> (</w:t>
      </w:r>
      <w:r w:rsidR="00EE5632" w:rsidRPr="00135DC1">
        <w:rPr>
          <w:rFonts w:ascii="Times New Roman" w:hAnsi="Times New Roman" w:cs="Times New Roman"/>
          <w:sz w:val="24"/>
          <w:szCs w:val="24"/>
        </w:rPr>
        <w:t>2118 шт.</w:t>
      </w:r>
      <w:r w:rsidR="00F97D61" w:rsidRPr="00135DC1">
        <w:rPr>
          <w:rFonts w:ascii="Times New Roman" w:hAnsi="Times New Roman" w:cs="Times New Roman"/>
          <w:sz w:val="24"/>
          <w:szCs w:val="24"/>
        </w:rPr>
        <w:t>)</w:t>
      </w:r>
      <w:r w:rsidR="00C20436" w:rsidRPr="00135DC1">
        <w:rPr>
          <w:rFonts w:ascii="Times New Roman" w:hAnsi="Times New Roman" w:cs="Times New Roman"/>
          <w:sz w:val="24"/>
          <w:szCs w:val="24"/>
        </w:rPr>
        <w:t>.</w:t>
      </w:r>
    </w:p>
    <w:p w:rsidR="00BA3B41" w:rsidRPr="00A06C15" w:rsidRDefault="00BA3B41" w:rsidP="00911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5D6524" w:rsidRDefault="005D6524" w:rsidP="00186F4A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F3B57" w:rsidRPr="00462D9D" w:rsidRDefault="000F3B57" w:rsidP="00186F4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62D9D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>Таблица 1</w:t>
      </w:r>
      <w:r w:rsidR="00462D9D" w:rsidRPr="004741FD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462D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9B0CA4" w:rsidRPr="00462D9D">
        <w:rPr>
          <w:rFonts w:ascii="Times New Roman" w:hAnsi="Times New Roman" w:cs="Times New Roman"/>
          <w:b/>
          <w:bCs/>
          <w:i/>
          <w:iCs/>
          <w:sz w:val="22"/>
          <w:szCs w:val="22"/>
        </w:rPr>
        <w:t>7</w:t>
      </w:r>
    </w:p>
    <w:p w:rsidR="00462D9D" w:rsidRPr="00A06C15" w:rsidRDefault="000F3B57" w:rsidP="00A3463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2D9D">
        <w:rPr>
          <w:rFonts w:ascii="Times New Roman" w:hAnsi="Times New Roman" w:cs="Times New Roman"/>
          <w:b/>
          <w:bCs/>
        </w:rPr>
        <w:t>Вывоз твердых</w:t>
      </w:r>
      <w:r w:rsidR="00510C83" w:rsidRPr="00462D9D">
        <w:rPr>
          <w:rFonts w:ascii="Times New Roman" w:hAnsi="Times New Roman" w:cs="Times New Roman"/>
          <w:b/>
          <w:bCs/>
        </w:rPr>
        <w:t xml:space="preserve"> </w:t>
      </w:r>
      <w:r w:rsidR="009735C3" w:rsidRPr="00462D9D">
        <w:rPr>
          <w:rFonts w:ascii="Times New Roman" w:hAnsi="Times New Roman" w:cs="Times New Roman"/>
          <w:b/>
          <w:bCs/>
        </w:rPr>
        <w:t xml:space="preserve">коммунальных </w:t>
      </w:r>
      <w:r w:rsidRPr="00462D9D">
        <w:rPr>
          <w:rFonts w:ascii="Times New Roman" w:hAnsi="Times New Roman" w:cs="Times New Roman"/>
          <w:b/>
          <w:bCs/>
        </w:rPr>
        <w:t>отходов автомобильными транспортными средствами специального назначения с территории населенных пунктов в 201</w:t>
      </w:r>
      <w:r w:rsidR="00B27D9C" w:rsidRPr="00462D9D">
        <w:rPr>
          <w:rFonts w:ascii="Times New Roman" w:hAnsi="Times New Roman" w:cs="Times New Roman"/>
          <w:b/>
          <w:bCs/>
        </w:rPr>
        <w:t>5</w:t>
      </w:r>
      <w:r w:rsidRPr="00462D9D">
        <w:rPr>
          <w:rFonts w:ascii="Times New Roman" w:hAnsi="Times New Roman" w:cs="Times New Roman"/>
          <w:b/>
          <w:bCs/>
        </w:rPr>
        <w:t xml:space="preserve"> г., тыс.</w:t>
      </w:r>
      <w:r w:rsidR="006D2F04" w:rsidRPr="00462D9D">
        <w:rPr>
          <w:rFonts w:ascii="Times New Roman" w:hAnsi="Times New Roman" w:cs="Times New Roman"/>
          <w:b/>
          <w:bCs/>
        </w:rPr>
        <w:t xml:space="preserve"> </w:t>
      </w:r>
      <w:r w:rsidRPr="00462D9D">
        <w:rPr>
          <w:rFonts w:ascii="Times New Roman" w:hAnsi="Times New Roman" w:cs="Times New Roman"/>
          <w:b/>
          <w:bCs/>
        </w:rPr>
        <w:t>м</w:t>
      </w:r>
      <w:r w:rsidRPr="00462D9D">
        <w:rPr>
          <w:rFonts w:ascii="Times New Roman" w:hAnsi="Times New Roman" w:cs="Times New Roman"/>
          <w:b/>
          <w:bCs/>
          <w:vertAlign w:val="superscript"/>
        </w:rPr>
        <w:t>3</w:t>
      </w:r>
      <w:r w:rsidRPr="00462D9D">
        <w:rPr>
          <w:rFonts w:ascii="Times New Roman" w:hAnsi="Times New Roman" w:cs="Times New Roman"/>
          <w:b/>
          <w:bCs/>
        </w:rPr>
        <w:t xml:space="preserve"> </w:t>
      </w:r>
    </w:p>
    <w:p w:rsidR="000F3B57" w:rsidRPr="00462D9D" w:rsidRDefault="000F3B57" w:rsidP="002A1051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462D9D">
        <w:rPr>
          <w:rFonts w:ascii="Times New Roman" w:hAnsi="Times New Roman" w:cs="Times New Roman"/>
          <w:b/>
          <w:bCs/>
        </w:rPr>
        <w:t>(по данным Национального статистического комитета Республики Беларусь</w:t>
      </w:r>
      <w:proofErr w:type="gramEnd"/>
    </w:p>
    <w:tbl>
      <w:tblPr>
        <w:tblStyle w:val="aff2"/>
        <w:tblW w:w="7415" w:type="dxa"/>
        <w:jc w:val="center"/>
        <w:tblLook w:val="04A0" w:firstRow="1" w:lastRow="0" w:firstColumn="1" w:lastColumn="0" w:noHBand="0" w:noVBand="1"/>
      </w:tblPr>
      <w:tblGrid>
        <w:gridCol w:w="3563"/>
        <w:gridCol w:w="3852"/>
      </w:tblGrid>
      <w:tr w:rsidR="00145553" w:rsidTr="00145553">
        <w:trPr>
          <w:trHeight w:val="671"/>
          <w:jc w:val="center"/>
        </w:trPr>
        <w:tc>
          <w:tcPr>
            <w:tcW w:w="3563" w:type="dxa"/>
            <w:vAlign w:val="center"/>
          </w:tcPr>
          <w:p w:rsidR="00145553" w:rsidRPr="008C30CF" w:rsidRDefault="00145553" w:rsidP="00834C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0C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Область</w:t>
            </w:r>
          </w:p>
        </w:tc>
        <w:tc>
          <w:tcPr>
            <w:tcW w:w="3852" w:type="dxa"/>
          </w:tcPr>
          <w:p w:rsidR="00145553" w:rsidRDefault="00145553" w:rsidP="002E76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Твердые</w:t>
            </w:r>
          </w:p>
          <w:p w:rsidR="00145553" w:rsidRPr="008C30CF" w:rsidRDefault="00145553" w:rsidP="00186F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коммунальные отходы</w:t>
            </w:r>
          </w:p>
        </w:tc>
      </w:tr>
      <w:tr w:rsidR="00145553" w:rsidTr="005D6524">
        <w:trPr>
          <w:trHeight w:val="335"/>
          <w:jc w:val="center"/>
        </w:trPr>
        <w:tc>
          <w:tcPr>
            <w:tcW w:w="3563" w:type="dxa"/>
            <w:vAlign w:val="center"/>
          </w:tcPr>
          <w:p w:rsidR="00145553" w:rsidRPr="005D6524" w:rsidRDefault="00145553" w:rsidP="005D652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Брестская</w:t>
            </w:r>
          </w:p>
        </w:tc>
        <w:tc>
          <w:tcPr>
            <w:tcW w:w="3852" w:type="dxa"/>
            <w:vAlign w:val="center"/>
          </w:tcPr>
          <w:p w:rsidR="00145553" w:rsidRPr="005D6524" w:rsidRDefault="00145553" w:rsidP="005D652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2885</w:t>
            </w:r>
          </w:p>
        </w:tc>
      </w:tr>
      <w:tr w:rsidR="00145553" w:rsidTr="005D6524">
        <w:trPr>
          <w:trHeight w:val="335"/>
          <w:jc w:val="center"/>
        </w:trPr>
        <w:tc>
          <w:tcPr>
            <w:tcW w:w="3563" w:type="dxa"/>
            <w:vAlign w:val="center"/>
          </w:tcPr>
          <w:p w:rsidR="00145553" w:rsidRPr="005D6524" w:rsidRDefault="00145553" w:rsidP="005D652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Витебская</w:t>
            </w:r>
          </w:p>
        </w:tc>
        <w:tc>
          <w:tcPr>
            <w:tcW w:w="3852" w:type="dxa"/>
            <w:vAlign w:val="center"/>
          </w:tcPr>
          <w:p w:rsidR="00145553" w:rsidRPr="005D6524" w:rsidRDefault="00145553" w:rsidP="005D652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2432</w:t>
            </w:r>
          </w:p>
        </w:tc>
      </w:tr>
      <w:tr w:rsidR="00145553" w:rsidTr="005D6524">
        <w:trPr>
          <w:trHeight w:val="354"/>
          <w:jc w:val="center"/>
        </w:trPr>
        <w:tc>
          <w:tcPr>
            <w:tcW w:w="3563" w:type="dxa"/>
            <w:vAlign w:val="center"/>
          </w:tcPr>
          <w:p w:rsidR="00145553" w:rsidRPr="005D6524" w:rsidRDefault="00145553" w:rsidP="005D652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Гомельская</w:t>
            </w:r>
          </w:p>
        </w:tc>
        <w:tc>
          <w:tcPr>
            <w:tcW w:w="3852" w:type="dxa"/>
            <w:vAlign w:val="center"/>
          </w:tcPr>
          <w:p w:rsidR="00145553" w:rsidRPr="005D6524" w:rsidRDefault="00145553" w:rsidP="005D652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2814</w:t>
            </w:r>
          </w:p>
        </w:tc>
      </w:tr>
      <w:tr w:rsidR="00145553" w:rsidTr="005D6524">
        <w:trPr>
          <w:trHeight w:val="335"/>
          <w:jc w:val="center"/>
        </w:trPr>
        <w:tc>
          <w:tcPr>
            <w:tcW w:w="3563" w:type="dxa"/>
            <w:vAlign w:val="center"/>
          </w:tcPr>
          <w:p w:rsidR="00145553" w:rsidRPr="005D6524" w:rsidRDefault="00145553" w:rsidP="005D652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Гродненская</w:t>
            </w:r>
          </w:p>
        </w:tc>
        <w:tc>
          <w:tcPr>
            <w:tcW w:w="3852" w:type="dxa"/>
            <w:vAlign w:val="center"/>
          </w:tcPr>
          <w:p w:rsidR="00145553" w:rsidRPr="005D6524" w:rsidRDefault="00145553" w:rsidP="005D652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2083</w:t>
            </w:r>
          </w:p>
        </w:tc>
      </w:tr>
      <w:tr w:rsidR="00145553" w:rsidTr="005D6524">
        <w:trPr>
          <w:trHeight w:val="335"/>
          <w:jc w:val="center"/>
        </w:trPr>
        <w:tc>
          <w:tcPr>
            <w:tcW w:w="3563" w:type="dxa"/>
            <w:vAlign w:val="center"/>
          </w:tcPr>
          <w:p w:rsidR="00145553" w:rsidRPr="005D6524" w:rsidRDefault="00145553" w:rsidP="005D652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г. Минск</w:t>
            </w:r>
          </w:p>
        </w:tc>
        <w:tc>
          <w:tcPr>
            <w:tcW w:w="3852" w:type="dxa"/>
            <w:vAlign w:val="center"/>
          </w:tcPr>
          <w:p w:rsidR="00145553" w:rsidRPr="005D6524" w:rsidRDefault="00145553" w:rsidP="005D652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5597</w:t>
            </w:r>
          </w:p>
        </w:tc>
      </w:tr>
      <w:tr w:rsidR="00145553" w:rsidTr="005D6524">
        <w:trPr>
          <w:trHeight w:val="335"/>
          <w:jc w:val="center"/>
        </w:trPr>
        <w:tc>
          <w:tcPr>
            <w:tcW w:w="3563" w:type="dxa"/>
            <w:vAlign w:val="center"/>
          </w:tcPr>
          <w:p w:rsidR="00145553" w:rsidRPr="005D6524" w:rsidRDefault="00145553" w:rsidP="005D652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Минская</w:t>
            </w:r>
          </w:p>
        </w:tc>
        <w:tc>
          <w:tcPr>
            <w:tcW w:w="3852" w:type="dxa"/>
            <w:vAlign w:val="center"/>
          </w:tcPr>
          <w:p w:rsidR="00145553" w:rsidRPr="005D6524" w:rsidRDefault="00145553" w:rsidP="005D652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3277</w:t>
            </w:r>
          </w:p>
        </w:tc>
      </w:tr>
      <w:tr w:rsidR="00145553" w:rsidTr="005D6524">
        <w:trPr>
          <w:trHeight w:val="335"/>
          <w:jc w:val="center"/>
        </w:trPr>
        <w:tc>
          <w:tcPr>
            <w:tcW w:w="3563" w:type="dxa"/>
            <w:vAlign w:val="center"/>
          </w:tcPr>
          <w:p w:rsidR="00145553" w:rsidRPr="005D6524" w:rsidRDefault="00145553" w:rsidP="005D652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Могилевская</w:t>
            </w:r>
          </w:p>
        </w:tc>
        <w:tc>
          <w:tcPr>
            <w:tcW w:w="3852" w:type="dxa"/>
            <w:vAlign w:val="center"/>
          </w:tcPr>
          <w:p w:rsidR="00145553" w:rsidRPr="005D6524" w:rsidRDefault="00145553" w:rsidP="005D652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2315</w:t>
            </w:r>
          </w:p>
        </w:tc>
      </w:tr>
      <w:tr w:rsidR="00145553" w:rsidTr="005D6524">
        <w:trPr>
          <w:trHeight w:val="354"/>
          <w:jc w:val="center"/>
        </w:trPr>
        <w:tc>
          <w:tcPr>
            <w:tcW w:w="3563" w:type="dxa"/>
            <w:vAlign w:val="center"/>
          </w:tcPr>
          <w:p w:rsidR="00145553" w:rsidRPr="005D6524" w:rsidRDefault="00145553" w:rsidP="005D6524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3852" w:type="dxa"/>
            <w:vAlign w:val="center"/>
          </w:tcPr>
          <w:p w:rsidR="00145553" w:rsidRPr="005D6524" w:rsidRDefault="00145553" w:rsidP="005D652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524">
              <w:rPr>
                <w:rFonts w:ascii="Times New Roman" w:hAnsi="Times New Roman"/>
                <w:sz w:val="24"/>
                <w:szCs w:val="24"/>
              </w:rPr>
              <w:t>21403</w:t>
            </w:r>
          </w:p>
        </w:tc>
      </w:tr>
    </w:tbl>
    <w:p w:rsidR="00B27D9C" w:rsidRPr="008C30CF" w:rsidRDefault="00B27D9C" w:rsidP="002A1051">
      <w:pPr>
        <w:ind w:left="708"/>
        <w:rPr>
          <w:rFonts w:ascii="Times New Roman" w:hAnsi="Times New Roman" w:cs="Times New Roman"/>
          <w:bCs/>
        </w:rPr>
      </w:pPr>
    </w:p>
    <w:sectPr w:rsidR="00B27D9C" w:rsidRPr="008C30CF" w:rsidSect="00A34632">
      <w:pgSz w:w="11906" w:h="16838"/>
      <w:pgMar w:top="1134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4D" w:rsidRDefault="0082144D" w:rsidP="003F7F2E">
      <w:pPr>
        <w:spacing w:after="0" w:line="240" w:lineRule="auto"/>
      </w:pPr>
      <w:r>
        <w:separator/>
      </w:r>
    </w:p>
  </w:endnote>
  <w:endnote w:type="continuationSeparator" w:id="0">
    <w:p w:rsidR="0082144D" w:rsidRDefault="0082144D" w:rsidP="003F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380109"/>
      <w:docPartObj>
        <w:docPartGallery w:val="Page Numbers (Bottom of Page)"/>
        <w:docPartUnique/>
      </w:docPartObj>
    </w:sdtPr>
    <w:sdtContent>
      <w:p w:rsidR="008B163F" w:rsidRDefault="008B16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958">
          <w:rPr>
            <w:noProof/>
          </w:rPr>
          <w:t>301</w:t>
        </w:r>
        <w:r>
          <w:fldChar w:fldCharType="end"/>
        </w:r>
      </w:p>
    </w:sdtContent>
  </w:sdt>
  <w:p w:rsidR="008B163F" w:rsidRDefault="008B163F" w:rsidP="00DA392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3F" w:rsidRDefault="008B163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8B163F" w:rsidRDefault="008B16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4D" w:rsidRDefault="0082144D" w:rsidP="003F7F2E">
      <w:pPr>
        <w:spacing w:after="0" w:line="240" w:lineRule="auto"/>
      </w:pPr>
      <w:r>
        <w:separator/>
      </w:r>
    </w:p>
  </w:footnote>
  <w:footnote w:type="continuationSeparator" w:id="0">
    <w:p w:rsidR="0082144D" w:rsidRDefault="0082144D" w:rsidP="003F7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420"/>
    <w:multiLevelType w:val="hybridMultilevel"/>
    <w:tmpl w:val="0A607EC4"/>
    <w:lvl w:ilvl="0" w:tplc="47700C4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FF52F67"/>
    <w:multiLevelType w:val="hybridMultilevel"/>
    <w:tmpl w:val="27B23E32"/>
    <w:lvl w:ilvl="0" w:tplc="C24A3C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805CE"/>
    <w:multiLevelType w:val="hybridMultilevel"/>
    <w:tmpl w:val="B3D6B4A4"/>
    <w:lvl w:ilvl="0" w:tplc="93FCB90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923A1A"/>
    <w:multiLevelType w:val="hybridMultilevel"/>
    <w:tmpl w:val="8BE65E3C"/>
    <w:lvl w:ilvl="0" w:tplc="93FCB90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0976739"/>
    <w:multiLevelType w:val="hybridMultilevel"/>
    <w:tmpl w:val="C3ECB2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D4C58E5"/>
    <w:multiLevelType w:val="multilevel"/>
    <w:tmpl w:val="3B1E6A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i w:val="0"/>
      </w:rPr>
    </w:lvl>
  </w:abstractNum>
  <w:abstractNum w:abstractNumId="6">
    <w:nsid w:val="702F0AA6"/>
    <w:multiLevelType w:val="hybridMultilevel"/>
    <w:tmpl w:val="A294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E4FEC"/>
    <w:multiLevelType w:val="hybridMultilevel"/>
    <w:tmpl w:val="A816D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9F5D65"/>
    <w:multiLevelType w:val="hybridMultilevel"/>
    <w:tmpl w:val="655E27DA"/>
    <w:lvl w:ilvl="0" w:tplc="93FCB90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806"/>
    <w:rsid w:val="000035B9"/>
    <w:rsid w:val="000074E2"/>
    <w:rsid w:val="00012AF2"/>
    <w:rsid w:val="0001707D"/>
    <w:rsid w:val="000262FC"/>
    <w:rsid w:val="0003543D"/>
    <w:rsid w:val="00040E78"/>
    <w:rsid w:val="00041822"/>
    <w:rsid w:val="00047ECD"/>
    <w:rsid w:val="00063A50"/>
    <w:rsid w:val="00072F79"/>
    <w:rsid w:val="000738D2"/>
    <w:rsid w:val="00075EA0"/>
    <w:rsid w:val="000842B2"/>
    <w:rsid w:val="00084550"/>
    <w:rsid w:val="000934F2"/>
    <w:rsid w:val="000A3963"/>
    <w:rsid w:val="000C0EB4"/>
    <w:rsid w:val="000D1F46"/>
    <w:rsid w:val="000D3ED8"/>
    <w:rsid w:val="000E34A1"/>
    <w:rsid w:val="000E4036"/>
    <w:rsid w:val="000F3B57"/>
    <w:rsid w:val="000F4097"/>
    <w:rsid w:val="000F63AF"/>
    <w:rsid w:val="000F6B27"/>
    <w:rsid w:val="0010045D"/>
    <w:rsid w:val="00123034"/>
    <w:rsid w:val="00135DC1"/>
    <w:rsid w:val="001425D5"/>
    <w:rsid w:val="00145553"/>
    <w:rsid w:val="00150C30"/>
    <w:rsid w:val="00170828"/>
    <w:rsid w:val="00173527"/>
    <w:rsid w:val="00182F1C"/>
    <w:rsid w:val="00186F4A"/>
    <w:rsid w:val="001C76A6"/>
    <w:rsid w:val="0020020C"/>
    <w:rsid w:val="00201153"/>
    <w:rsid w:val="00205937"/>
    <w:rsid w:val="00206376"/>
    <w:rsid w:val="00210351"/>
    <w:rsid w:val="0021778F"/>
    <w:rsid w:val="00220700"/>
    <w:rsid w:val="00221D05"/>
    <w:rsid w:val="00231A6C"/>
    <w:rsid w:val="00245ACB"/>
    <w:rsid w:val="00256F56"/>
    <w:rsid w:val="002745FC"/>
    <w:rsid w:val="00283D1B"/>
    <w:rsid w:val="00287B82"/>
    <w:rsid w:val="00293204"/>
    <w:rsid w:val="002A0626"/>
    <w:rsid w:val="002A1051"/>
    <w:rsid w:val="002A48C9"/>
    <w:rsid w:val="002C2A87"/>
    <w:rsid w:val="002D1201"/>
    <w:rsid w:val="002D6FCB"/>
    <w:rsid w:val="002E762F"/>
    <w:rsid w:val="002F7B29"/>
    <w:rsid w:val="00317DF0"/>
    <w:rsid w:val="00321002"/>
    <w:rsid w:val="00330838"/>
    <w:rsid w:val="00346F1D"/>
    <w:rsid w:val="00356CAC"/>
    <w:rsid w:val="00364C8E"/>
    <w:rsid w:val="00373877"/>
    <w:rsid w:val="00373C7E"/>
    <w:rsid w:val="00380F8D"/>
    <w:rsid w:val="003827CF"/>
    <w:rsid w:val="00385157"/>
    <w:rsid w:val="0039122F"/>
    <w:rsid w:val="00393C8F"/>
    <w:rsid w:val="00395276"/>
    <w:rsid w:val="003A01A2"/>
    <w:rsid w:val="003B57DA"/>
    <w:rsid w:val="003C154C"/>
    <w:rsid w:val="003D212C"/>
    <w:rsid w:val="003D26E7"/>
    <w:rsid w:val="003D4584"/>
    <w:rsid w:val="003E3796"/>
    <w:rsid w:val="003E69BC"/>
    <w:rsid w:val="003F47B4"/>
    <w:rsid w:val="003F7F2E"/>
    <w:rsid w:val="004048DB"/>
    <w:rsid w:val="004218D5"/>
    <w:rsid w:val="00422AE0"/>
    <w:rsid w:val="00426206"/>
    <w:rsid w:val="00442E50"/>
    <w:rsid w:val="00444E41"/>
    <w:rsid w:val="00445E61"/>
    <w:rsid w:val="00462D9D"/>
    <w:rsid w:val="00471C22"/>
    <w:rsid w:val="004741FD"/>
    <w:rsid w:val="004762B7"/>
    <w:rsid w:val="0048172D"/>
    <w:rsid w:val="00483B7F"/>
    <w:rsid w:val="00485813"/>
    <w:rsid w:val="004930ED"/>
    <w:rsid w:val="004A4036"/>
    <w:rsid w:val="004A55D3"/>
    <w:rsid w:val="004A6958"/>
    <w:rsid w:val="004C4A60"/>
    <w:rsid w:val="004C58E3"/>
    <w:rsid w:val="004E14CD"/>
    <w:rsid w:val="004E3CE8"/>
    <w:rsid w:val="004E5A94"/>
    <w:rsid w:val="004E614D"/>
    <w:rsid w:val="004E6A9F"/>
    <w:rsid w:val="00505901"/>
    <w:rsid w:val="00510C83"/>
    <w:rsid w:val="00520DF9"/>
    <w:rsid w:val="00552076"/>
    <w:rsid w:val="0057185E"/>
    <w:rsid w:val="00577F67"/>
    <w:rsid w:val="00581A83"/>
    <w:rsid w:val="005921E8"/>
    <w:rsid w:val="00596548"/>
    <w:rsid w:val="005A2376"/>
    <w:rsid w:val="005B0D6D"/>
    <w:rsid w:val="005B7369"/>
    <w:rsid w:val="005D2844"/>
    <w:rsid w:val="005D6524"/>
    <w:rsid w:val="005D75FB"/>
    <w:rsid w:val="005E0285"/>
    <w:rsid w:val="00601DC7"/>
    <w:rsid w:val="006049BB"/>
    <w:rsid w:val="0060622C"/>
    <w:rsid w:val="00610C7A"/>
    <w:rsid w:val="00612D0E"/>
    <w:rsid w:val="00617EF5"/>
    <w:rsid w:val="00632E6F"/>
    <w:rsid w:val="00633EF5"/>
    <w:rsid w:val="00660B74"/>
    <w:rsid w:val="00661212"/>
    <w:rsid w:val="00672C1D"/>
    <w:rsid w:val="00680EA9"/>
    <w:rsid w:val="00683137"/>
    <w:rsid w:val="006A086A"/>
    <w:rsid w:val="006A5465"/>
    <w:rsid w:val="006D2F04"/>
    <w:rsid w:val="006D35C3"/>
    <w:rsid w:val="006E5E33"/>
    <w:rsid w:val="006E5F5C"/>
    <w:rsid w:val="006E70CF"/>
    <w:rsid w:val="00704A87"/>
    <w:rsid w:val="0072288B"/>
    <w:rsid w:val="007274C4"/>
    <w:rsid w:val="00775BF1"/>
    <w:rsid w:val="0077780D"/>
    <w:rsid w:val="007867AD"/>
    <w:rsid w:val="00793575"/>
    <w:rsid w:val="007A6EFD"/>
    <w:rsid w:val="007B52A4"/>
    <w:rsid w:val="007C349B"/>
    <w:rsid w:val="007D3857"/>
    <w:rsid w:val="007D401C"/>
    <w:rsid w:val="007D6B8D"/>
    <w:rsid w:val="007E77B9"/>
    <w:rsid w:val="007F61A7"/>
    <w:rsid w:val="00801067"/>
    <w:rsid w:val="00813ED3"/>
    <w:rsid w:val="00814C0C"/>
    <w:rsid w:val="00816F36"/>
    <w:rsid w:val="00820B56"/>
    <w:rsid w:val="0082144D"/>
    <w:rsid w:val="00834CDB"/>
    <w:rsid w:val="008538D4"/>
    <w:rsid w:val="00860806"/>
    <w:rsid w:val="00864AF0"/>
    <w:rsid w:val="00865726"/>
    <w:rsid w:val="00872F3C"/>
    <w:rsid w:val="008831E1"/>
    <w:rsid w:val="00890D3E"/>
    <w:rsid w:val="008922E4"/>
    <w:rsid w:val="008B163F"/>
    <w:rsid w:val="008B358F"/>
    <w:rsid w:val="008C30CF"/>
    <w:rsid w:val="008C47AA"/>
    <w:rsid w:val="008C7D77"/>
    <w:rsid w:val="008D3AD2"/>
    <w:rsid w:val="008F0BAE"/>
    <w:rsid w:val="008F1068"/>
    <w:rsid w:val="008F6159"/>
    <w:rsid w:val="00900AE6"/>
    <w:rsid w:val="00901431"/>
    <w:rsid w:val="00911B76"/>
    <w:rsid w:val="009252C9"/>
    <w:rsid w:val="009321F0"/>
    <w:rsid w:val="00935D44"/>
    <w:rsid w:val="00943DC5"/>
    <w:rsid w:val="00952BDA"/>
    <w:rsid w:val="0096785C"/>
    <w:rsid w:val="00970F00"/>
    <w:rsid w:val="00972E2C"/>
    <w:rsid w:val="009735C3"/>
    <w:rsid w:val="009949A5"/>
    <w:rsid w:val="009A5213"/>
    <w:rsid w:val="009B0CA4"/>
    <w:rsid w:val="009B31D6"/>
    <w:rsid w:val="009C6927"/>
    <w:rsid w:val="009E337A"/>
    <w:rsid w:val="009F0304"/>
    <w:rsid w:val="009F6E07"/>
    <w:rsid w:val="00A06C15"/>
    <w:rsid w:val="00A20089"/>
    <w:rsid w:val="00A31E27"/>
    <w:rsid w:val="00A3287F"/>
    <w:rsid w:val="00A3371A"/>
    <w:rsid w:val="00A34632"/>
    <w:rsid w:val="00A65ED5"/>
    <w:rsid w:val="00A72F59"/>
    <w:rsid w:val="00A853D4"/>
    <w:rsid w:val="00A87CC5"/>
    <w:rsid w:val="00AA642A"/>
    <w:rsid w:val="00B01540"/>
    <w:rsid w:val="00B04BBA"/>
    <w:rsid w:val="00B06B3B"/>
    <w:rsid w:val="00B155B2"/>
    <w:rsid w:val="00B27D9C"/>
    <w:rsid w:val="00B744AA"/>
    <w:rsid w:val="00B824FA"/>
    <w:rsid w:val="00B8779E"/>
    <w:rsid w:val="00B968C1"/>
    <w:rsid w:val="00BA3B41"/>
    <w:rsid w:val="00BD44F7"/>
    <w:rsid w:val="00BD7A9F"/>
    <w:rsid w:val="00BE2CCB"/>
    <w:rsid w:val="00BE463A"/>
    <w:rsid w:val="00C00F91"/>
    <w:rsid w:val="00C07B7E"/>
    <w:rsid w:val="00C20436"/>
    <w:rsid w:val="00C21F05"/>
    <w:rsid w:val="00C23E59"/>
    <w:rsid w:val="00C258E6"/>
    <w:rsid w:val="00C328CB"/>
    <w:rsid w:val="00C47E05"/>
    <w:rsid w:val="00C610CB"/>
    <w:rsid w:val="00C71EBA"/>
    <w:rsid w:val="00C92F11"/>
    <w:rsid w:val="00CA13CD"/>
    <w:rsid w:val="00CC3D48"/>
    <w:rsid w:val="00CD09DA"/>
    <w:rsid w:val="00CD4097"/>
    <w:rsid w:val="00CE0F05"/>
    <w:rsid w:val="00CF0CA6"/>
    <w:rsid w:val="00CF5D2E"/>
    <w:rsid w:val="00D03D4E"/>
    <w:rsid w:val="00D04FD8"/>
    <w:rsid w:val="00D21935"/>
    <w:rsid w:val="00D227D1"/>
    <w:rsid w:val="00D30D69"/>
    <w:rsid w:val="00D3286B"/>
    <w:rsid w:val="00D52D6F"/>
    <w:rsid w:val="00D535A9"/>
    <w:rsid w:val="00D54EC5"/>
    <w:rsid w:val="00D623B8"/>
    <w:rsid w:val="00D754BC"/>
    <w:rsid w:val="00D82B29"/>
    <w:rsid w:val="00D9034E"/>
    <w:rsid w:val="00D92C63"/>
    <w:rsid w:val="00D95953"/>
    <w:rsid w:val="00DA3929"/>
    <w:rsid w:val="00DA533B"/>
    <w:rsid w:val="00DB3260"/>
    <w:rsid w:val="00DD1A33"/>
    <w:rsid w:val="00DD5293"/>
    <w:rsid w:val="00DE2EBA"/>
    <w:rsid w:val="00DE7800"/>
    <w:rsid w:val="00DF021E"/>
    <w:rsid w:val="00DF3230"/>
    <w:rsid w:val="00E01DCA"/>
    <w:rsid w:val="00E30CB6"/>
    <w:rsid w:val="00E35C92"/>
    <w:rsid w:val="00E37B4B"/>
    <w:rsid w:val="00E411EE"/>
    <w:rsid w:val="00E41D36"/>
    <w:rsid w:val="00E4335B"/>
    <w:rsid w:val="00E8148B"/>
    <w:rsid w:val="00ED2E04"/>
    <w:rsid w:val="00EE2CE6"/>
    <w:rsid w:val="00EE3260"/>
    <w:rsid w:val="00EE406F"/>
    <w:rsid w:val="00EE5538"/>
    <w:rsid w:val="00EE5632"/>
    <w:rsid w:val="00EE69EA"/>
    <w:rsid w:val="00F0215A"/>
    <w:rsid w:val="00F07F59"/>
    <w:rsid w:val="00F12734"/>
    <w:rsid w:val="00F21C35"/>
    <w:rsid w:val="00F31127"/>
    <w:rsid w:val="00F346F3"/>
    <w:rsid w:val="00F41073"/>
    <w:rsid w:val="00F4348C"/>
    <w:rsid w:val="00F53FD4"/>
    <w:rsid w:val="00F56232"/>
    <w:rsid w:val="00F569E8"/>
    <w:rsid w:val="00F633D3"/>
    <w:rsid w:val="00F63B44"/>
    <w:rsid w:val="00F71651"/>
    <w:rsid w:val="00F80254"/>
    <w:rsid w:val="00F91656"/>
    <w:rsid w:val="00F9743C"/>
    <w:rsid w:val="00F97D61"/>
    <w:rsid w:val="00FA1561"/>
    <w:rsid w:val="00FA3824"/>
    <w:rsid w:val="00FA4226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8D"/>
  </w:style>
  <w:style w:type="paragraph" w:styleId="1">
    <w:name w:val="heading 1"/>
    <w:basedOn w:val="Default"/>
    <w:next w:val="Default"/>
    <w:link w:val="10"/>
    <w:uiPriority w:val="99"/>
    <w:qFormat/>
    <w:rsid w:val="00860806"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9"/>
    <w:unhideWhenUsed/>
    <w:qFormat/>
    <w:rsid w:val="00FD3A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A55D3"/>
    <w:pPr>
      <w:keepNext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A55D3"/>
    <w:pPr>
      <w:keepNext/>
      <w:spacing w:after="0" w:line="360" w:lineRule="auto"/>
      <w:jc w:val="both"/>
      <w:outlineLvl w:val="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A55D3"/>
    <w:pPr>
      <w:keepNext/>
      <w:spacing w:after="0" w:line="360" w:lineRule="auto"/>
      <w:ind w:left="144" w:firstLine="720"/>
      <w:jc w:val="both"/>
      <w:outlineLvl w:val="4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A55D3"/>
    <w:pPr>
      <w:spacing w:before="240" w:after="60" w:line="360" w:lineRule="auto"/>
      <w:jc w:val="both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A55D3"/>
    <w:pPr>
      <w:keepNext/>
      <w:spacing w:after="0" w:line="360" w:lineRule="auto"/>
      <w:ind w:firstLine="709"/>
      <w:jc w:val="both"/>
      <w:outlineLvl w:val="6"/>
    </w:pPr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A55D3"/>
    <w:pPr>
      <w:keepNext/>
      <w:spacing w:after="0" w:line="360" w:lineRule="auto"/>
      <w:jc w:val="both"/>
      <w:outlineLvl w:val="7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A55D3"/>
    <w:pPr>
      <w:spacing w:before="240" w:after="60" w:line="360" w:lineRule="auto"/>
      <w:jc w:val="both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60806"/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3A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A55D3"/>
    <w:rPr>
      <w:rFonts w:ascii="Times New Roman" w:eastAsia="Calibri" w:hAnsi="Times New Roman" w:cs="Times New Roman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55D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A55D3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A55D3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A55D3"/>
    <w:rPr>
      <w:rFonts w:ascii="Times New Roman" w:eastAsia="Calibri" w:hAnsi="Times New Roman" w:cs="Times New Roman"/>
      <w:b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A55D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A55D3"/>
    <w:rPr>
      <w:rFonts w:ascii="Arial" w:eastAsia="Calibri" w:hAnsi="Arial" w:cs="Times New Roman"/>
      <w:sz w:val="20"/>
      <w:szCs w:val="20"/>
      <w:lang w:eastAsia="ru-RU"/>
    </w:rPr>
  </w:style>
  <w:style w:type="paragraph" w:styleId="a3">
    <w:name w:val="Body Text"/>
    <w:basedOn w:val="Default"/>
    <w:next w:val="Default"/>
    <w:link w:val="a4"/>
    <w:uiPriority w:val="99"/>
    <w:rsid w:val="00860806"/>
    <w:rPr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860806"/>
    <w:rPr>
      <w:rFonts w:ascii="Arial" w:hAnsi="Arial" w:cs="Arial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860806"/>
    <w:rPr>
      <w:color w:val="auto"/>
    </w:rPr>
  </w:style>
  <w:style w:type="paragraph" w:customStyle="1" w:styleId="ConsPlusNonformat">
    <w:name w:val="ConsPlusNonformat"/>
    <w:rsid w:val="00520D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252C9"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252C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autoRedefine/>
    <w:qFormat/>
    <w:rsid w:val="00EE406F"/>
    <w:pPr>
      <w:spacing w:after="0" w:line="240" w:lineRule="auto"/>
      <w:jc w:val="center"/>
    </w:pPr>
    <w:rPr>
      <w:rFonts w:ascii="Times New Roman" w:eastAsia="Calibri" w:hAnsi="Times New Roman" w:cs="Times New Roman"/>
      <w:b/>
      <w:iCs/>
    </w:rPr>
  </w:style>
  <w:style w:type="character" w:customStyle="1" w:styleId="a6">
    <w:name w:val="Название Знак"/>
    <w:basedOn w:val="a0"/>
    <w:link w:val="a5"/>
    <w:rsid w:val="00EE406F"/>
    <w:rPr>
      <w:rFonts w:ascii="Times New Roman" w:eastAsia="Calibri" w:hAnsi="Times New Roman" w:cs="Times New Roman"/>
      <w:b/>
      <w:iCs/>
    </w:rPr>
  </w:style>
  <w:style w:type="paragraph" w:styleId="a7">
    <w:name w:val="Balloon Text"/>
    <w:basedOn w:val="a"/>
    <w:link w:val="a8"/>
    <w:uiPriority w:val="99"/>
    <w:unhideWhenUsed/>
    <w:rsid w:val="007C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C349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FD3A21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FD3A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D3A21"/>
    <w:pPr>
      <w:spacing w:after="120" w:line="360" w:lineRule="auto"/>
      <w:ind w:left="283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D3A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D3A21"/>
    <w:pPr>
      <w:spacing w:after="120" w:line="480" w:lineRule="auto"/>
      <w:ind w:left="283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D3A2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uiPriority w:val="99"/>
    <w:rsid w:val="004A55D3"/>
    <w:pPr>
      <w:keepNext/>
      <w:spacing w:after="0" w:line="360" w:lineRule="auto"/>
      <w:ind w:firstLine="709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4A55D3"/>
    <w:pPr>
      <w:keepNext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d">
    <w:name w:val="page number"/>
    <w:uiPriority w:val="99"/>
    <w:rsid w:val="004A55D3"/>
    <w:rPr>
      <w:rFonts w:cs="Times New Roman"/>
    </w:rPr>
  </w:style>
  <w:style w:type="paragraph" w:styleId="ae">
    <w:name w:val="header"/>
    <w:basedOn w:val="a"/>
    <w:link w:val="af"/>
    <w:uiPriority w:val="99"/>
    <w:rsid w:val="004A55D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A55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4A55D3"/>
    <w:pPr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4A55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4A55D3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4A55D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4A55D3"/>
    <w:pPr>
      <w:spacing w:after="120" w:line="360" w:lineRule="auto"/>
      <w:jc w:val="both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A55D3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2">
    <w:name w:val="Hyperlink"/>
    <w:uiPriority w:val="99"/>
    <w:rsid w:val="004A55D3"/>
    <w:rPr>
      <w:rFonts w:cs="Times New Roman"/>
      <w:color w:val="0000FF"/>
      <w:u w:val="single"/>
    </w:rPr>
  </w:style>
  <w:style w:type="paragraph" w:customStyle="1" w:styleId="caaieiaie2">
    <w:name w:val="caaieiaie 2"/>
    <w:basedOn w:val="a"/>
    <w:next w:val="a"/>
    <w:uiPriority w:val="99"/>
    <w:rsid w:val="004A55D3"/>
    <w:pPr>
      <w:keepNext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4A55D3"/>
    <w:pPr>
      <w:spacing w:after="0" w:line="288" w:lineRule="auto"/>
      <w:ind w:firstLine="709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4A55D3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4">
    <w:name w:val="Normal (Web)"/>
    <w:basedOn w:val="a"/>
    <w:uiPriority w:val="99"/>
    <w:rsid w:val="004A55D3"/>
    <w:pPr>
      <w:spacing w:before="100" w:beforeAutospacing="1" w:after="100" w:afterAutospacing="1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Strong"/>
    <w:uiPriority w:val="99"/>
    <w:qFormat/>
    <w:rsid w:val="004A55D3"/>
    <w:rPr>
      <w:rFonts w:cs="Times New Roman"/>
      <w:b/>
      <w:bCs/>
    </w:rPr>
  </w:style>
  <w:style w:type="paragraph" w:customStyle="1" w:styleId="black">
    <w:name w:val="black"/>
    <w:basedOn w:val="a"/>
    <w:uiPriority w:val="99"/>
    <w:rsid w:val="004A55D3"/>
    <w:pPr>
      <w:spacing w:before="100" w:beforeAutospacing="1" w:after="100" w:afterAutospacing="1" w:line="336" w:lineRule="auto"/>
      <w:jc w:val="both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paragraph" w:customStyle="1" w:styleId="12">
    <w:name w:val="Абзац списка1"/>
    <w:basedOn w:val="a"/>
    <w:rsid w:val="004A55D3"/>
    <w:pPr>
      <w:spacing w:after="0" w:line="36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"/>
    <w:rsid w:val="004A55D3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6">
    <w:name w:val="toc 2"/>
    <w:basedOn w:val="a"/>
    <w:next w:val="a"/>
    <w:autoRedefine/>
    <w:uiPriority w:val="39"/>
    <w:qFormat/>
    <w:rsid w:val="004A55D3"/>
    <w:pPr>
      <w:spacing w:before="240" w:after="0" w:line="360" w:lineRule="auto"/>
      <w:ind w:firstLine="709"/>
    </w:pPr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qFormat/>
    <w:rsid w:val="004A55D3"/>
    <w:pPr>
      <w:tabs>
        <w:tab w:val="right" w:leader="dot" w:pos="9344"/>
      </w:tabs>
      <w:spacing w:before="360" w:after="0" w:line="240" w:lineRule="auto"/>
      <w:ind w:firstLine="709"/>
    </w:pPr>
    <w:rPr>
      <w:rFonts w:ascii="Cambria" w:eastAsia="Calibri" w:hAnsi="Cambria" w:cs="Times New Roman"/>
      <w:b/>
      <w:bCs/>
      <w:caps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qFormat/>
    <w:rsid w:val="004A55D3"/>
    <w:pPr>
      <w:spacing w:after="0" w:line="360" w:lineRule="auto"/>
      <w:ind w:left="240" w:firstLine="709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4A55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7">
    <w:name w:val="FollowedHyperlink"/>
    <w:uiPriority w:val="99"/>
    <w:unhideWhenUsed/>
    <w:rsid w:val="004A55D3"/>
    <w:rPr>
      <w:color w:val="800080"/>
      <w:u w:val="single"/>
    </w:rPr>
  </w:style>
  <w:style w:type="paragraph" w:customStyle="1" w:styleId="xl67">
    <w:name w:val="xl67"/>
    <w:basedOn w:val="a"/>
    <w:rsid w:val="004A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55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A55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A55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A55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55D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A55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A55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A55D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A55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A55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A55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4A55D3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unhideWhenUsed/>
    <w:qFormat/>
    <w:rsid w:val="004A55D3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310">
    <w:name w:val="Основной текст 31"/>
    <w:basedOn w:val="a"/>
    <w:uiPriority w:val="99"/>
    <w:rsid w:val="004A55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styleId="afa">
    <w:name w:val="annotation reference"/>
    <w:uiPriority w:val="99"/>
    <w:unhideWhenUsed/>
    <w:rsid w:val="004A55D3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4A55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4A55D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unhideWhenUsed/>
    <w:rsid w:val="004A55D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4A55D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">
    <w:name w:val="Book Title"/>
    <w:uiPriority w:val="33"/>
    <w:qFormat/>
    <w:rsid w:val="004A55D3"/>
    <w:rPr>
      <w:rFonts w:ascii="Times New Roman" w:hAnsi="Times New Roman"/>
      <w:bCs/>
      <w:dstrike w:val="0"/>
      <w:spacing w:val="0"/>
      <w:sz w:val="22"/>
      <w:vertAlign w:val="baseline"/>
    </w:rPr>
  </w:style>
  <w:style w:type="paragraph" w:customStyle="1" w:styleId="ConsPlusNormal">
    <w:name w:val="ConsPlusNormal"/>
    <w:rsid w:val="004A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1"/>
    <w:basedOn w:val="a"/>
    <w:rsid w:val="004A55D3"/>
    <w:pPr>
      <w:tabs>
        <w:tab w:val="left" w:pos="113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A55D3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4A55D3"/>
    <w:pPr>
      <w:spacing w:after="0" w:line="360" w:lineRule="auto"/>
      <w:ind w:left="480" w:firstLine="709"/>
    </w:pPr>
    <w:rPr>
      <w:rFonts w:ascii="Calibri" w:eastAsia="Calibri" w:hAnsi="Calibri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A55D3"/>
    <w:pPr>
      <w:spacing w:after="0" w:line="360" w:lineRule="auto"/>
      <w:ind w:left="720" w:firstLine="709"/>
    </w:pPr>
    <w:rPr>
      <w:rFonts w:ascii="Calibri" w:eastAsia="Calibri" w:hAnsi="Calibri" w:cs="Calibri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A55D3"/>
    <w:pPr>
      <w:spacing w:after="0" w:line="360" w:lineRule="auto"/>
      <w:ind w:left="960" w:firstLine="709"/>
    </w:pPr>
    <w:rPr>
      <w:rFonts w:ascii="Calibri" w:eastAsia="Calibri" w:hAnsi="Calibri" w:cs="Calibri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A55D3"/>
    <w:pPr>
      <w:spacing w:after="0" w:line="360" w:lineRule="auto"/>
      <w:ind w:left="1200" w:firstLine="709"/>
    </w:pPr>
    <w:rPr>
      <w:rFonts w:ascii="Calibri" w:eastAsia="Calibri" w:hAnsi="Calibri" w:cs="Calibri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A55D3"/>
    <w:pPr>
      <w:spacing w:after="0" w:line="360" w:lineRule="auto"/>
      <w:ind w:left="1440" w:firstLine="709"/>
    </w:pPr>
    <w:rPr>
      <w:rFonts w:ascii="Calibri" w:eastAsia="Calibri" w:hAnsi="Calibri" w:cs="Calibri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A55D3"/>
    <w:pPr>
      <w:spacing w:after="0" w:line="360" w:lineRule="auto"/>
      <w:ind w:left="1680" w:firstLine="709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ff0">
    <w:name w:val="обычн БО"/>
    <w:basedOn w:val="a"/>
    <w:rsid w:val="004A55D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A55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20">
    <w:name w:val="Основной текст 22"/>
    <w:basedOn w:val="a"/>
    <w:rsid w:val="004A55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2">
    <w:name w:val="Table Grid"/>
    <w:basedOn w:val="a1"/>
    <w:uiPriority w:val="59"/>
    <w:rsid w:val="007D6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2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77;&#1093;&#1072;&#1085;&#1080;&#1082;&#1086;&#1074;\&#1041;&#1102;&#1083;&#1083;&#1077;&#1090;&#1077;&#1085;&#1100;%20&#1057;&#1054;&#1057;%20&#1041;\&#1092;&#1086;&#1088;&#1084;&#1099;%20&#1090;&#1072;&#1073;&#1083;&#1080;&#1094;%20&#1101;&#1082;&#1086;&#1083;&#1086;&#1075;&#1080;&#1095;&#1077;&#1089;&#1082;&#1086;&#1075;&#1086;%20&#1073;&#1102;&#1083;&#1083;&#1077;&#1090;&#1077;&#1085;&#1103;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77;&#1093;&#1072;&#1085;&#1080;&#1082;&#1086;&#1074;\&#1041;&#1102;&#1083;&#1083;&#1077;&#1090;&#1077;&#1085;&#1100;%20&#1057;&#1054;&#1057;%20&#1041;\&#1092;&#1086;&#1088;&#1084;&#1099;%20&#1090;&#1072;&#1073;&#1083;&#1080;&#1094;%20&#1101;&#1082;&#1086;&#1083;&#1086;&#1075;&#1080;&#1095;&#1077;&#1089;&#1082;&#1086;&#1075;&#1086;%20&#1073;&#1102;&#1083;&#1083;&#1077;&#1090;&#1077;&#1085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2;&#1077;&#1093;&#1072;&#1085;&#1080;&#1082;&#1086;&#1074;\&#1041;&#1102;&#1083;&#1083;&#1077;&#1090;&#1077;&#1085;&#1100;%20&#1057;&#1054;&#1057;%20&#1041;\&#1092;&#1086;&#1088;&#1084;&#1099;%20&#1090;&#1072;&#1073;&#1083;&#1080;&#1094;%20&#1101;&#1082;&#1086;&#1083;&#1086;&#1075;&#1080;&#1095;&#1077;&#1089;&#1082;&#1086;&#1075;&#1086;%20&#1073;&#1102;&#1083;&#1083;&#1077;&#1090;&#1077;&#1085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42672578549049"/>
          <c:y val="8.9492048788019224E-2"/>
          <c:w val="0.81469085781753048"/>
          <c:h val="0.795510828526113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</a:ln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34782</c:v>
                </c:pt>
                <c:pt idx="1">
                  <c:v>33455</c:v>
                </c:pt>
                <c:pt idx="2">
                  <c:v>37955</c:v>
                </c:pt>
                <c:pt idx="3">
                  <c:v>39768</c:v>
                </c:pt>
                <c:pt idx="4">
                  <c:v>27277</c:v>
                </c:pt>
                <c:pt idx="5">
                  <c:v>43775</c:v>
                </c:pt>
                <c:pt idx="6">
                  <c:v>44307</c:v>
                </c:pt>
                <c:pt idx="7">
                  <c:v>40847</c:v>
                </c:pt>
                <c:pt idx="8">
                  <c:v>40305</c:v>
                </c:pt>
                <c:pt idx="9">
                  <c:v>52529</c:v>
                </c:pt>
                <c:pt idx="10">
                  <c:v>49865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0743808"/>
        <c:axId val="330745728"/>
      </c:barChart>
      <c:catAx>
        <c:axId val="330743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Год</a:t>
                </a:r>
              </a:p>
            </c:rich>
          </c:tx>
          <c:layout>
            <c:manualLayout>
              <c:xMode val="edge"/>
              <c:yMode val="edge"/>
              <c:x val="0.93036346184882213"/>
              <c:y val="0.8998526253737000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0745728"/>
        <c:crosses val="autoZero"/>
        <c:auto val="1"/>
        <c:lblAlgn val="ctr"/>
        <c:lblOffset val="100"/>
        <c:noMultiLvlLbl val="0"/>
      </c:catAx>
      <c:valAx>
        <c:axId val="330745728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ru-RU" b="0"/>
                  <a:t>тыс.т</a:t>
                </a:r>
              </a:p>
            </c:rich>
          </c:tx>
          <c:layout>
            <c:manualLayout>
              <c:xMode val="edge"/>
              <c:yMode val="edge"/>
              <c:x val="4.2722863525554454E-2"/>
              <c:y val="3.9455356889053156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07438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42672578549049"/>
          <c:y val="8.9492048788019196E-2"/>
          <c:w val="0.81469085781753048"/>
          <c:h val="0.795510828526113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ltUpDiag">
              <a:fgClr>
                <a:schemeClr val="accent2">
                  <a:lumMod val="75000"/>
                </a:schemeClr>
              </a:fgClr>
              <a:bgClr>
                <a:schemeClr val="bg1"/>
              </a:bgClr>
            </a:pattFill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</a:ln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192</c:v>
                </c:pt>
                <c:pt idx="1">
                  <c:v>238.8</c:v>
                </c:pt>
                <c:pt idx="2">
                  <c:v>322.5</c:v>
                </c:pt>
                <c:pt idx="3">
                  <c:v>522.1</c:v>
                </c:pt>
                <c:pt idx="4">
                  <c:v>730.5</c:v>
                </c:pt>
                <c:pt idx="5">
                  <c:v>918.2</c:v>
                </c:pt>
                <c:pt idx="6">
                  <c:v>943.2</c:v>
                </c:pt>
                <c:pt idx="7">
                  <c:v>1322.8</c:v>
                </c:pt>
                <c:pt idx="8">
                  <c:v>1415.4</c:v>
                </c:pt>
                <c:pt idx="9">
                  <c:v>1724</c:v>
                </c:pt>
                <c:pt idx="10">
                  <c:v>1207.8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4887168"/>
        <c:axId val="339292544"/>
      </c:barChart>
      <c:catAx>
        <c:axId val="334887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Год</a:t>
                </a:r>
              </a:p>
            </c:rich>
          </c:tx>
          <c:layout>
            <c:manualLayout>
              <c:xMode val="edge"/>
              <c:yMode val="edge"/>
              <c:x val="0.93036346184882213"/>
              <c:y val="0.899852625373699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9292544"/>
        <c:crosses val="autoZero"/>
        <c:auto val="1"/>
        <c:lblAlgn val="ctr"/>
        <c:lblOffset val="100"/>
        <c:noMultiLvlLbl val="0"/>
      </c:catAx>
      <c:valAx>
        <c:axId val="339292544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ru-RU" b="0"/>
                  <a:t>тыс. т</a:t>
                </a:r>
              </a:p>
            </c:rich>
          </c:tx>
          <c:layout>
            <c:manualLayout>
              <c:xMode val="edge"/>
              <c:yMode val="edge"/>
              <c:x val="4.2722863525554454E-2"/>
              <c:y val="3.9455356889053156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48871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42672578549049"/>
          <c:y val="8.9492048788019196E-2"/>
          <c:w val="0.81469085781753048"/>
          <c:h val="0.795510828526113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>
                  <a:tint val="75000"/>
                  <a:shade val="95000"/>
                  <a:satMod val="105000"/>
                </a:schemeClr>
              </a:solidFill>
            </a:ln>
          </c:spPr>
          <c:invertIfNegative val="0"/>
          <c:cat>
            <c:numRef>
              <c:f>Лист1!$A$2:$A$12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7325</c:v>
                </c:pt>
                <c:pt idx="1">
                  <c:v>6984</c:v>
                </c:pt>
                <c:pt idx="2">
                  <c:v>8447</c:v>
                </c:pt>
                <c:pt idx="3">
                  <c:v>9427</c:v>
                </c:pt>
                <c:pt idx="4">
                  <c:v>11690</c:v>
                </c:pt>
                <c:pt idx="5">
                  <c:v>13647</c:v>
                </c:pt>
                <c:pt idx="6">
                  <c:v>12671</c:v>
                </c:pt>
                <c:pt idx="7">
                  <c:v>13066</c:v>
                </c:pt>
                <c:pt idx="8">
                  <c:v>20059</c:v>
                </c:pt>
                <c:pt idx="9">
                  <c:v>16654</c:v>
                </c:pt>
                <c:pt idx="10">
                  <c:v>12164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9321984"/>
        <c:axId val="339323904"/>
      </c:barChart>
      <c:catAx>
        <c:axId val="339321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Год</a:t>
                </a:r>
              </a:p>
            </c:rich>
          </c:tx>
          <c:layout>
            <c:manualLayout>
              <c:xMode val="edge"/>
              <c:yMode val="edge"/>
              <c:x val="0.93036346184882213"/>
              <c:y val="0.899852625373699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9323904"/>
        <c:crosses val="autoZero"/>
        <c:auto val="1"/>
        <c:lblAlgn val="ctr"/>
        <c:lblOffset val="100"/>
        <c:noMultiLvlLbl val="0"/>
      </c:catAx>
      <c:valAx>
        <c:axId val="339323904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ru-RU" b="0"/>
                  <a:t>тыс.т</a:t>
                </a:r>
              </a:p>
            </c:rich>
          </c:tx>
          <c:layout>
            <c:manualLayout>
              <c:xMode val="edge"/>
              <c:yMode val="edge"/>
              <c:x val="4.2722863525554454E-2"/>
              <c:y val="3.9455356889053156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93219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1.7829274899356443E-2"/>
                  <c:y val="-0.212663778473473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4169305349286854E-2"/>
                  <c:y val="4.224098493712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181466640513372E-2"/>
                  <c:y val="-8.7198136377531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872876210758358E-2"/>
                  <c:y val="-7.3548155878105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 - передано, реализовано, экспорт</c:v>
                </c:pt>
                <c:pt idx="1">
                  <c:v> - на получение энергии</c:v>
                </c:pt>
                <c:pt idx="2">
                  <c:v> - на получение продукции</c:v>
                </c:pt>
                <c:pt idx="3">
                  <c:v> - на выполнение работ и оказание услуг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45.5</c:v>
                </c:pt>
                <c:pt idx="1">
                  <c:v>5.9</c:v>
                </c:pt>
                <c:pt idx="2">
                  <c:v>19.3</c:v>
                </c:pt>
                <c:pt idx="3">
                  <c:v>29.3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 - передано, реализовано, экспорт</c:v>
                </c:pt>
              </c:strCache>
            </c:strRef>
          </c:tx>
          <c:val>
            <c:numRef>
              <c:f>Лист1!$B$2</c:f>
              <c:numCache>
                <c:formatCode>General</c:formatCode>
                <c:ptCount val="1"/>
                <c:pt idx="0">
                  <c:v>45.5</c:v>
                </c:pt>
              </c:numCache>
            </c:numRef>
          </c:val>
        </c:ser>
        <c:ser>
          <c:idx val="2"/>
          <c:order val="2"/>
          <c:tx>
            <c:strRef>
              <c:f>Лист1!$A$3</c:f>
              <c:strCache>
                <c:ptCount val="1"/>
                <c:pt idx="0">
                  <c:v> - на получение энергии</c:v>
                </c:pt>
              </c:strCache>
            </c:strRef>
          </c:tx>
          <c:val>
            <c:numRef>
              <c:f>Лист1!$B$3</c:f>
              <c:numCache>
                <c:formatCode>General</c:formatCode>
                <c:ptCount val="1"/>
                <c:pt idx="0">
                  <c:v>5.9</c:v>
                </c:pt>
              </c:numCache>
            </c:numRef>
          </c:val>
        </c:ser>
        <c:ser>
          <c:idx val="3"/>
          <c:order val="3"/>
          <c:tx>
            <c:strRef>
              <c:f>Лист1!$A$4</c:f>
              <c:strCache>
                <c:ptCount val="1"/>
                <c:pt idx="0">
                  <c:v> - на получение продукции</c:v>
                </c:pt>
              </c:strCache>
            </c:strRef>
          </c:tx>
          <c:val>
            <c:numRef>
              <c:f>Лист1!$B$4</c:f>
              <c:numCache>
                <c:formatCode>General</c:formatCode>
                <c:ptCount val="1"/>
                <c:pt idx="0">
                  <c:v>19.3</c:v>
                </c:pt>
              </c:numCache>
            </c:numRef>
          </c:val>
        </c:ser>
        <c:ser>
          <c:idx val="4"/>
          <c:order val="4"/>
          <c:tx>
            <c:strRef>
              <c:f>Лист1!$A$5</c:f>
              <c:strCache>
                <c:ptCount val="1"/>
                <c:pt idx="0">
                  <c:v> - на выполнение работ и оказание услуг</c:v>
                </c:pt>
              </c:strCache>
            </c:strRef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14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view3D>
      <c:rotX val="33"/>
      <c:hPercent val="79"/>
      <c:rotY val="44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745614035087719"/>
          <c:y val="2.7918781725888325E-2"/>
          <c:w val="0.87061403508771962"/>
          <c:h val="0.82487309644672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Образовавшиеся отходы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7793635170603702E-2"/>
                  <c:y val="1.336108190835819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43700787401585E-2"/>
                  <c:y val="-3.169516616962390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2776840042049346E-3"/>
                  <c:y val="-5.361260095792931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9439985012039124E-3"/>
                  <c:y val="-1.534560466718282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358438169026026E-2"/>
                  <c:y val="1.930201693577870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952146606674188E-2"/>
                  <c:y val="-1.588076694772826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8709</c:v>
                </c:pt>
                <c:pt idx="1">
                  <c:v>4113</c:v>
                </c:pt>
                <c:pt idx="2">
                  <c:v>1538</c:v>
                </c:pt>
                <c:pt idx="3">
                  <c:v>677</c:v>
                </c:pt>
                <c:pt idx="4">
                  <c:v>462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Неиспользованные отходы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0850674915635578E-2"/>
                  <c:y val="-4.70447052429072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249953130858646E-2"/>
                  <c:y val="-2.915888919879563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832442819647579E-2"/>
                  <c:y val="-1.295200497757943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3016262056922439E-2"/>
                  <c:y val="3.708287971768791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2816891930753141E-2"/>
                  <c:y val="-6.609077431185001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6094628796400449E-2"/>
                  <c:y val="-1.47241948979810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Sheet1!$B$1:$G$1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Sheet1!$B$3:$G$3</c:f>
              <c:numCache>
                <c:formatCode>General</c:formatCode>
                <c:ptCount val="6"/>
                <c:pt idx="0">
                  <c:v>2778</c:v>
                </c:pt>
                <c:pt idx="1">
                  <c:v>381</c:v>
                </c:pt>
                <c:pt idx="2">
                  <c:v>1186</c:v>
                </c:pt>
                <c:pt idx="3">
                  <c:v>666</c:v>
                </c:pt>
                <c:pt idx="4">
                  <c:v>240</c:v>
                </c:pt>
                <c:pt idx="5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9680256"/>
        <c:axId val="339698432"/>
        <c:axId val="0"/>
      </c:bar3DChart>
      <c:catAx>
        <c:axId val="33968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39698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969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39680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8.5629981183858866E-2"/>
          <c:y val="0.93299661071777795"/>
          <c:w val="0.8859648365872077"/>
          <c:h val="6.598998654579957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666264068506356E-2"/>
          <c:y val="4.1699604450852086E-2"/>
          <c:w val="0.73535856405046141"/>
          <c:h val="0.86420967801560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отходы!$F$112</c:f>
              <c:strCache>
                <c:ptCount val="1"/>
                <c:pt idx="0">
                  <c:v>термическое обезвреживание </c:v>
                </c:pt>
              </c:strCache>
            </c:strRef>
          </c:tx>
          <c:spPr>
            <a:solidFill>
              <a:srgbClr val="FF5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отходы!$E$113:$E$115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отходы!$F$113:$F$115</c:f>
              <c:numCache>
                <c:formatCode>General</c:formatCode>
                <c:ptCount val="3"/>
                <c:pt idx="0">
                  <c:v>49</c:v>
                </c:pt>
                <c:pt idx="1">
                  <c:v>66.900000000000006</c:v>
                </c:pt>
                <c:pt idx="2">
                  <c:v>64.599999999999994</c:v>
                </c:pt>
              </c:numCache>
            </c:numRef>
          </c:val>
        </c:ser>
        <c:ser>
          <c:idx val="1"/>
          <c:order val="1"/>
          <c:tx>
            <c:strRef>
              <c:f>отходы!$G$112</c:f>
              <c:strCache>
                <c:ptCount val="1"/>
                <c:pt idx="0">
                  <c:v>химическое обезвреживание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5823405331621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82340533162127E-2"/>
                  <c:y val="-6.88567945447843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373510799743189E-2"/>
                  <c:y val="6.88567945447843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отходы!$E$113:$E$115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отходы!$G$113:$G$115</c:f>
              <c:numCache>
                <c:formatCode>General</c:formatCode>
                <c:ptCount val="3"/>
                <c:pt idx="0">
                  <c:v>45.5</c:v>
                </c:pt>
                <c:pt idx="1">
                  <c:v>24.7</c:v>
                </c:pt>
                <c:pt idx="2">
                  <c:v>28.9</c:v>
                </c:pt>
              </c:numCache>
            </c:numRef>
          </c:val>
        </c:ser>
        <c:ser>
          <c:idx val="2"/>
          <c:order val="2"/>
          <c:tx>
            <c:strRef>
              <c:f>отходы!$H$112</c:f>
              <c:strCache>
                <c:ptCount val="1"/>
                <c:pt idx="0">
                  <c:v>физико-химическое, электрохимической и биологическое обезвреживание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отходы!$E$113:$E$115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отходы!$H$113:$H$115</c:f>
              <c:numCache>
                <c:formatCode>General</c:formatCode>
                <c:ptCount val="3"/>
                <c:pt idx="0">
                  <c:v>5.5</c:v>
                </c:pt>
                <c:pt idx="1">
                  <c:v>8.4</c:v>
                </c:pt>
                <c:pt idx="2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9737600"/>
        <c:axId val="339751680"/>
      </c:barChart>
      <c:catAx>
        <c:axId val="33973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9751680"/>
        <c:crosses val="autoZero"/>
        <c:auto val="1"/>
        <c:lblAlgn val="ctr"/>
        <c:lblOffset val="100"/>
        <c:noMultiLvlLbl val="0"/>
      </c:catAx>
      <c:valAx>
        <c:axId val="33975168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973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554153353920739"/>
          <c:y val="0.15634734390595542"/>
          <c:w val="0.23087612350663297"/>
          <c:h val="0.7098402277180141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view3D>
      <c:rotX val="30"/>
      <c:rotY val="1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4203661246408548E-2"/>
          <c:w val="1"/>
          <c:h val="0.4143598082848339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35"/>
          <c:dLbls>
            <c:dLbl>
              <c:idx val="0"/>
              <c:layout>
                <c:manualLayout>
                  <c:x val="-0.15501825149298901"/>
                  <c:y val="1.6666666666666701E-2"/>
                </c:manualLayout>
              </c:layout>
              <c:spPr>
                <a:noFill/>
                <a:ln w="259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581667676155875"/>
                  <c:y val="-8.3996348282551717E-2"/>
                </c:manualLayout>
              </c:layout>
              <c:spPr>
                <a:noFill/>
                <a:ln w="259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8931899858671533"/>
                  <c:y val="6.2649777473467979E-4"/>
                </c:manualLayout>
              </c:layout>
              <c:spPr>
                <a:noFill/>
                <a:ln w="259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524487644534324E-2"/>
                  <c:y val="8.1246648535371391E-2"/>
                </c:manualLayout>
              </c:layout>
              <c:spPr>
                <a:noFill/>
                <a:ln w="259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735340565040567E-2"/>
                  <c:y val="8.8095963603870495E-2"/>
                </c:manualLayout>
              </c:layout>
              <c:spPr>
                <a:noFill/>
                <a:ln w="259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2243251112693412"/>
                  <c:y val="4.4716968170075033E-2"/>
                </c:manualLayout>
              </c:layout>
              <c:spPr>
                <a:noFill/>
                <a:ln w="259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9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Галитовые отходы</c:v>
                </c:pt>
                <c:pt idx="1">
                  <c:v>Шламы галитовые глинисто-солевые</c:v>
                </c:pt>
                <c:pt idx="2">
                  <c:v>Фосфогипс</c:v>
                </c:pt>
                <c:pt idx="3">
                  <c:v>Лигнин гидролизный</c:v>
                </c:pt>
                <c:pt idx="4">
                  <c:v>Отходы (осадки) водоподготовки котельно-теплового хозяйства и питьевой воды, очистки сточных, дождевых вод и использования воды на электростанциях</c:v>
                </c:pt>
                <c:pt idx="5">
                  <c:v>Прочие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932722.6</c:v>
                </c:pt>
                <c:pt idx="1">
                  <c:v>110484.1</c:v>
                </c:pt>
                <c:pt idx="2">
                  <c:v>19242.900000000001</c:v>
                </c:pt>
                <c:pt idx="3">
                  <c:v>2389.5</c:v>
                </c:pt>
                <c:pt idx="4">
                  <c:v>11913</c:v>
                </c:pt>
                <c:pt idx="5">
                  <c:v>17442.900000000001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952">
          <a:noFill/>
        </a:ln>
      </c:spPr>
    </c:plotArea>
    <c:legend>
      <c:legendPos val="b"/>
      <c:layout>
        <c:manualLayout>
          <c:xMode val="edge"/>
          <c:yMode val="edge"/>
          <c:x val="2.3684579640297506E-3"/>
          <c:y val="0.48280109330804716"/>
          <c:w val="0.99492402883057984"/>
          <c:h val="0.4914959377221260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7385108354457264"/>
          <c:y val="1.7717524439879805E-2"/>
          <c:w val="0.37130364147716383"/>
          <c:h val="0.661352469445474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>
              <a:noFill/>
            </a:ln>
          </c:spPr>
          <c:explosion val="25"/>
          <c:dLbls>
            <c:dLbl>
              <c:idx val="0"/>
              <c:layout>
                <c:manualLayout>
                  <c:x val="2.7021308233560293E-2"/>
                  <c:y val="2.239537766112590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0444479821048806E-2"/>
                  <c:y val="-5.56017478424615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083087397901079E-2"/>
                  <c:y val="-3.74096451239994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0340146050950474E-2"/>
                  <c:y val="-1.99230774823507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909344730042492E-3"/>
                  <c:y val="-5.17085087355770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6944563500324517E-2"/>
                  <c:y val="-2.26344144655048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Sheet1!$B$1:$G$1</c:f>
              <c:strCache>
                <c:ptCount val="6"/>
                <c:pt idx="0">
                  <c:v>Отходы минерального происхождения</c:v>
                </c:pt>
                <c:pt idx="1">
                  <c:v> Отходы растительного и животного происхождения</c:v>
                </c:pt>
                <c:pt idx="2">
                  <c:v>Отходы (осадки) водоподготвки котельно-теплового хозяйства и питьевой воды, очистки сточных, дождевых вод и использования воды на электростанциях</c:v>
                </c:pt>
                <c:pt idx="3">
                  <c:v> Отходы жизнедеятельности населения и подобные им отходы производства</c:v>
                </c:pt>
                <c:pt idx="4">
                  <c:v>Отходы химических производств и производств, связанных с ними</c:v>
                </c:pt>
                <c:pt idx="5">
                  <c:v>Медицинские отходы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56.1</c:v>
                </c:pt>
                <c:pt idx="1">
                  <c:v>26.5</c:v>
                </c:pt>
                <c:pt idx="2" formatCode="0.0">
                  <c:v>9.9</c:v>
                </c:pt>
                <c:pt idx="3" formatCode="0.0">
                  <c:v>4.4000000000000004</c:v>
                </c:pt>
                <c:pt idx="4">
                  <c:v>3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explosion val="25"/>
          <c:cat>
            <c:strRef>
              <c:f>Sheet1!$B$1:$G$1</c:f>
              <c:strCache>
                <c:ptCount val="6"/>
                <c:pt idx="0">
                  <c:v>Отходы минерального происхождения</c:v>
                </c:pt>
                <c:pt idx="1">
                  <c:v> Отходы растительного и животного происхождения</c:v>
                </c:pt>
                <c:pt idx="2">
                  <c:v>Отходы (осадки) водоподготвки котельно-теплового хозяйства и питьевой воды, очистки сточных, дождевых вод и использования воды на электростанциях</c:v>
                </c:pt>
                <c:pt idx="3">
                  <c:v> Отходы жизнедеятельности населения и подобные им отходы производства</c:v>
                </c:pt>
                <c:pt idx="4">
                  <c:v>Отходы химических производств и производств, связанных с ними</c:v>
                </c:pt>
                <c:pt idx="5">
                  <c:v>Медицинские отходы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25"/>
          <c:cat>
            <c:strRef>
              <c:f>Sheet1!$B$1:$G$1</c:f>
              <c:strCache>
                <c:ptCount val="6"/>
                <c:pt idx="0">
                  <c:v>Отходы минерального происхождения</c:v>
                </c:pt>
                <c:pt idx="1">
                  <c:v> Отходы растительного и животного происхождения</c:v>
                </c:pt>
                <c:pt idx="2">
                  <c:v>Отходы (осадки) водоподготвки котельно-теплового хозяйства и питьевой воды, очистки сточных, дождевых вод и использования воды на электростанциях</c:v>
                </c:pt>
                <c:pt idx="3">
                  <c:v> Отходы жизнедеятельности населения и подобные им отходы производства</c:v>
                </c:pt>
                <c:pt idx="4">
                  <c:v>Отходы химических производств и производств, связанных с ними</c:v>
                </c:pt>
                <c:pt idx="5">
                  <c:v>Медицинские отходы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49736209060823927"/>
          <c:w val="1"/>
          <c:h val="0.50263790939176056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56349174627367E-2"/>
          <c:y val="3.9058996253436645E-2"/>
          <c:w val="0.8938390822974539"/>
          <c:h val="0.788084128006426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Word]Лист1'!$B$16</c:f>
              <c:strCache>
                <c:ptCount val="1"/>
                <c:pt idx="0">
                  <c:v>Образование тыс. 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703703703703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000000000000001E-2"/>
                  <c:y val="-9.2592592592592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536379018612529E-2"/>
                  <c:y val="-1.0554089709762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0242526790750167E-3"/>
                  <c:y val="-2.4626209322779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Word]Лист1'!$A$17:$A$27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Word]Лист1'!$B$17:$B$27</c:f>
              <c:numCache>
                <c:formatCode>General</c:formatCode>
                <c:ptCount val="11"/>
                <c:pt idx="0">
                  <c:v>483</c:v>
                </c:pt>
                <c:pt idx="1">
                  <c:v>585</c:v>
                </c:pt>
                <c:pt idx="2">
                  <c:v>1483</c:v>
                </c:pt>
                <c:pt idx="3">
                  <c:v>1513</c:v>
                </c:pt>
                <c:pt idx="4">
                  <c:v>1863</c:v>
                </c:pt>
                <c:pt idx="5">
                  <c:v>1617</c:v>
                </c:pt>
                <c:pt idx="6">
                  <c:v>1040</c:v>
                </c:pt>
                <c:pt idx="7">
                  <c:v>1053</c:v>
                </c:pt>
                <c:pt idx="8">
                  <c:v>1412</c:v>
                </c:pt>
                <c:pt idx="9">
                  <c:v>1449</c:v>
                </c:pt>
                <c:pt idx="10">
                  <c:v>1244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Word]Лист1'!$C$16</c:f>
              <c:strCache>
                <c:ptCount val="1"/>
                <c:pt idx="0">
                  <c:v>Использование, тыс. т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1.1111111111111117E-2"/>
                  <c:y val="9.2592592592592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444444444444445E-2"/>
                  <c:y val="9.2592592592592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8888888888889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79226454561200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8166948674562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3045685279187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363790186125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28031584884385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579244218838127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5792442188381276E-2"/>
                  <c:y val="1.0554089709762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353637901861252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Word]Лист1'!$A$17:$A$27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Word]Лист1'!$C$17:$C$27</c:f>
              <c:numCache>
                <c:formatCode>General</c:formatCode>
                <c:ptCount val="11"/>
                <c:pt idx="0">
                  <c:v>411</c:v>
                </c:pt>
                <c:pt idx="1">
                  <c:v>489</c:v>
                </c:pt>
                <c:pt idx="2">
                  <c:v>1304</c:v>
                </c:pt>
                <c:pt idx="3">
                  <c:v>1426</c:v>
                </c:pt>
                <c:pt idx="4">
                  <c:v>1769</c:v>
                </c:pt>
                <c:pt idx="5">
                  <c:v>1435</c:v>
                </c:pt>
                <c:pt idx="6">
                  <c:v>934</c:v>
                </c:pt>
                <c:pt idx="7">
                  <c:v>902</c:v>
                </c:pt>
                <c:pt idx="8">
                  <c:v>1221</c:v>
                </c:pt>
                <c:pt idx="9">
                  <c:v>1244</c:v>
                </c:pt>
                <c:pt idx="10">
                  <c:v>1039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204864"/>
        <c:axId val="333206656"/>
      </c:barChart>
      <c:catAx>
        <c:axId val="333204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3206656"/>
        <c:crosses val="autoZero"/>
        <c:auto val="1"/>
        <c:lblAlgn val="ctr"/>
        <c:lblOffset val="100"/>
        <c:noMultiLvlLbl val="0"/>
      </c:catAx>
      <c:valAx>
        <c:axId val="33320665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3204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отходы!$I$76</c:f>
              <c:strCache>
                <c:ptCount val="1"/>
                <c:pt idx="0">
                  <c:v>Образовано, тыс. 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отходы!$H$77:$H$87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отходы!$I$77:$I$87</c:f>
              <c:numCache>
                <c:formatCode>General</c:formatCode>
                <c:ptCount val="11"/>
                <c:pt idx="0">
                  <c:v>382</c:v>
                </c:pt>
                <c:pt idx="1">
                  <c:v>401</c:v>
                </c:pt>
                <c:pt idx="2">
                  <c:v>474</c:v>
                </c:pt>
                <c:pt idx="3">
                  <c:v>433</c:v>
                </c:pt>
                <c:pt idx="4">
                  <c:v>426</c:v>
                </c:pt>
                <c:pt idx="5">
                  <c:v>718</c:v>
                </c:pt>
                <c:pt idx="6">
                  <c:v>885</c:v>
                </c:pt>
                <c:pt idx="7">
                  <c:v>862</c:v>
                </c:pt>
                <c:pt idx="8">
                  <c:v>843</c:v>
                </c:pt>
                <c:pt idx="9">
                  <c:v>836</c:v>
                </c:pt>
                <c:pt idx="10">
                  <c:v>522</c:v>
                </c:pt>
              </c:numCache>
            </c:numRef>
          </c:val>
        </c:ser>
        <c:ser>
          <c:idx val="1"/>
          <c:order val="1"/>
          <c:tx>
            <c:strRef>
              <c:f>отходы!$J$76</c:f>
              <c:strCache>
                <c:ptCount val="1"/>
                <c:pt idx="0">
                  <c:v>Использовано, тыс. т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8.9037284362826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9037284362826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037284362826936E-3"/>
                  <c:y val="6.30004006422244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355592654424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6777963272120202E-3"/>
                  <c:y val="6.30004006422244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1296605453533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90372843628277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67779632721202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9037284362826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11296605453533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9037284362826936E-3"/>
                  <c:y val="6.300040064222447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отходы!$H$77:$H$87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отходы!$J$77:$J$87</c:f>
              <c:numCache>
                <c:formatCode>General</c:formatCode>
                <c:ptCount val="11"/>
                <c:pt idx="0">
                  <c:v>201</c:v>
                </c:pt>
                <c:pt idx="1">
                  <c:v>217</c:v>
                </c:pt>
                <c:pt idx="2">
                  <c:v>286</c:v>
                </c:pt>
                <c:pt idx="3">
                  <c:v>278</c:v>
                </c:pt>
                <c:pt idx="4">
                  <c:v>269</c:v>
                </c:pt>
                <c:pt idx="5">
                  <c:v>452</c:v>
                </c:pt>
                <c:pt idx="6">
                  <c:v>548</c:v>
                </c:pt>
                <c:pt idx="7">
                  <c:v>518</c:v>
                </c:pt>
                <c:pt idx="8">
                  <c:v>553</c:v>
                </c:pt>
                <c:pt idx="9">
                  <c:v>631</c:v>
                </c:pt>
                <c:pt idx="10">
                  <c:v>388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236480"/>
        <c:axId val="333258752"/>
      </c:barChart>
      <c:catAx>
        <c:axId val="33323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3258752"/>
        <c:crosses val="autoZero"/>
        <c:auto val="1"/>
        <c:lblAlgn val="ctr"/>
        <c:lblOffset val="100"/>
        <c:noMultiLvlLbl val="0"/>
      </c:catAx>
      <c:valAx>
        <c:axId val="33325875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32364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Word]Лист1'!$B$30</c:f>
              <c:strCache>
                <c:ptCount val="1"/>
                <c:pt idx="0">
                  <c:v>Образование тыс. т</c:v>
                </c:pt>
              </c:strCache>
            </c:strRef>
          </c:tx>
          <c:invertIfNegative val="0"/>
          <c:dLbls>
            <c:dLbl>
              <c:idx val="8"/>
              <c:layout>
                <c:manualLayout>
                  <c:x val="-1.16144018583042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6260162601626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Word]Лист1'!$A$31:$A$41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Word]Лист1'!$B$31:$B$41</c:f>
              <c:numCache>
                <c:formatCode>General</c:formatCode>
                <c:ptCount val="11"/>
                <c:pt idx="0">
                  <c:v>1617</c:v>
                </c:pt>
                <c:pt idx="1">
                  <c:v>1785</c:v>
                </c:pt>
                <c:pt idx="2">
                  <c:v>1881</c:v>
                </c:pt>
                <c:pt idx="3">
                  <c:v>1971</c:v>
                </c:pt>
                <c:pt idx="4">
                  <c:v>2666</c:v>
                </c:pt>
                <c:pt idx="5">
                  <c:v>2600</c:v>
                </c:pt>
                <c:pt idx="6">
                  <c:v>2973</c:v>
                </c:pt>
                <c:pt idx="7">
                  <c:v>3120</c:v>
                </c:pt>
                <c:pt idx="8">
                  <c:v>2993</c:v>
                </c:pt>
                <c:pt idx="9">
                  <c:v>3702</c:v>
                </c:pt>
                <c:pt idx="10">
                  <c:v>3097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Word]Лист1'!$C$30</c:f>
              <c:strCache>
                <c:ptCount val="1"/>
                <c:pt idx="0">
                  <c:v>Использование, тыс. т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1.39372822299651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9372822299651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614401858304301E-2"/>
                  <c:y val="1.1834319526627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83042973286917E-2"/>
                  <c:y val="-7.2320006104729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937282229965162E-2"/>
                  <c:y val="7.2320006104729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90592334494774E-2"/>
                  <c:y val="7.232000610472909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05923344947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6260162601625938E-2"/>
                  <c:y val="7.88954635108488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6260162601626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Word]Лист1'!$A$31:$A$41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Word]Лист1'!$C$31:$C$41</c:f>
              <c:numCache>
                <c:formatCode>General</c:formatCode>
                <c:ptCount val="11"/>
                <c:pt idx="0">
                  <c:v>793</c:v>
                </c:pt>
                <c:pt idx="1">
                  <c:v>709</c:v>
                </c:pt>
                <c:pt idx="2">
                  <c:v>1133</c:v>
                </c:pt>
                <c:pt idx="3">
                  <c:v>1154</c:v>
                </c:pt>
                <c:pt idx="4">
                  <c:v>1129</c:v>
                </c:pt>
                <c:pt idx="5">
                  <c:v>1225</c:v>
                </c:pt>
                <c:pt idx="6">
                  <c:v>1633</c:v>
                </c:pt>
                <c:pt idx="7">
                  <c:v>2244</c:v>
                </c:pt>
                <c:pt idx="8">
                  <c:v>7020</c:v>
                </c:pt>
                <c:pt idx="9">
                  <c:v>5032</c:v>
                </c:pt>
                <c:pt idx="10">
                  <c:v>2632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272192"/>
        <c:axId val="333273728"/>
      </c:barChart>
      <c:catAx>
        <c:axId val="33327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3273728"/>
        <c:crosses val="autoZero"/>
        <c:auto val="1"/>
        <c:lblAlgn val="ctr"/>
        <c:lblOffset val="100"/>
        <c:noMultiLvlLbl val="0"/>
      </c:catAx>
      <c:valAx>
        <c:axId val="33327372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3272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Word]Лист1'!$B$82</c:f>
              <c:strCache>
                <c:ptCount val="1"/>
                <c:pt idx="0">
                  <c:v>Образование тыс. т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6.9686411149825836E-3"/>
                  <c:y val="-1.1235955056179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937282229965162E-2"/>
                  <c:y val="-1.1235955056179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Word]Лист1'!$A$83:$A$93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Word]Лист1'!$B$83:$B$93</c:f>
              <c:numCache>
                <c:formatCode>General</c:formatCode>
                <c:ptCount val="11"/>
                <c:pt idx="0">
                  <c:v>1336</c:v>
                </c:pt>
                <c:pt idx="1">
                  <c:v>1760</c:v>
                </c:pt>
                <c:pt idx="2">
                  <c:v>1171</c:v>
                </c:pt>
                <c:pt idx="3">
                  <c:v>1876</c:v>
                </c:pt>
                <c:pt idx="4">
                  <c:v>1498</c:v>
                </c:pt>
                <c:pt idx="5">
                  <c:v>1954</c:v>
                </c:pt>
                <c:pt idx="6">
                  <c:v>1704</c:v>
                </c:pt>
                <c:pt idx="7">
                  <c:v>1781</c:v>
                </c:pt>
                <c:pt idx="8">
                  <c:v>2196</c:v>
                </c:pt>
                <c:pt idx="9">
                  <c:v>1864</c:v>
                </c:pt>
                <c:pt idx="10">
                  <c:v>1786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Word]Лист1'!$C$82</c:f>
              <c:strCache>
                <c:ptCount val="1"/>
                <c:pt idx="0">
                  <c:v>Использование, тыс. т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1.39372822299651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2288037166085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583042973286876E-2"/>
                  <c:y val="6.866337658257983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937282229965204E-2"/>
                  <c:y val="3.433168829128993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9372822299651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9372822299651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0592334494774E-2"/>
                  <c:y val="3.745318352059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85830429732867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260162601626021E-2"/>
                  <c:y val="3.74531835205992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82997365625045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6260162601626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Word]Лист1'!$A$83:$A$93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Word]Лист1'!$C$83:$C$93</c:f>
              <c:numCache>
                <c:formatCode>General</c:formatCode>
                <c:ptCount val="11"/>
                <c:pt idx="0">
                  <c:v>1016</c:v>
                </c:pt>
                <c:pt idx="1">
                  <c:v>1437</c:v>
                </c:pt>
                <c:pt idx="2">
                  <c:v>764</c:v>
                </c:pt>
                <c:pt idx="3">
                  <c:v>1429</c:v>
                </c:pt>
                <c:pt idx="4">
                  <c:v>1255</c:v>
                </c:pt>
                <c:pt idx="5">
                  <c:v>1691</c:v>
                </c:pt>
                <c:pt idx="6">
                  <c:v>1371</c:v>
                </c:pt>
                <c:pt idx="7">
                  <c:v>1396</c:v>
                </c:pt>
                <c:pt idx="8">
                  <c:v>1404</c:v>
                </c:pt>
                <c:pt idx="9">
                  <c:v>1131</c:v>
                </c:pt>
                <c:pt idx="10">
                  <c:v>1008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455360"/>
        <c:axId val="333456896"/>
      </c:barChart>
      <c:catAx>
        <c:axId val="333455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3456896"/>
        <c:crosses val="autoZero"/>
        <c:auto val="1"/>
        <c:lblAlgn val="ctr"/>
        <c:lblOffset val="100"/>
        <c:noMultiLvlLbl val="0"/>
      </c:catAx>
      <c:valAx>
        <c:axId val="3334568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34553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Word]Лист1'!$B$69</c:f>
              <c:strCache>
                <c:ptCount val="1"/>
                <c:pt idx="0">
                  <c:v>Образование тыс. 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Word]Лист1'!$A$70:$A$80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Word]Лист1'!$B$70:$B$80</c:f>
              <c:numCache>
                <c:formatCode>General</c:formatCode>
                <c:ptCount val="11"/>
                <c:pt idx="0">
                  <c:v>1150</c:v>
                </c:pt>
                <c:pt idx="1">
                  <c:v>1312</c:v>
                </c:pt>
                <c:pt idx="2">
                  <c:v>1389</c:v>
                </c:pt>
                <c:pt idx="3">
                  <c:v>1381</c:v>
                </c:pt>
                <c:pt idx="4">
                  <c:v>1291</c:v>
                </c:pt>
                <c:pt idx="5">
                  <c:v>1574</c:v>
                </c:pt>
                <c:pt idx="6">
                  <c:v>1858</c:v>
                </c:pt>
                <c:pt idx="7">
                  <c:v>1617</c:v>
                </c:pt>
                <c:pt idx="8">
                  <c:v>2397</c:v>
                </c:pt>
                <c:pt idx="9">
                  <c:v>2072</c:v>
                </c:pt>
                <c:pt idx="10">
                  <c:v>1980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Word]Лист1'!$C$69</c:f>
              <c:strCache>
                <c:ptCount val="1"/>
                <c:pt idx="0">
                  <c:v>Использование, тыс. т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6.956520468968077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94200781613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9130409379361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94200781613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9130409379361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594200781613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9130409379361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9.275360625290768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0869561406904238E-2"/>
                  <c:y val="6.050535164207532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9.2753606252907687E-3"/>
                  <c:y val="6.050535164207532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39130409379361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Word]Лист1'!$A$70:$A$80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Word]Лист1'!$C$70:$C$80</c:f>
              <c:numCache>
                <c:formatCode>General</c:formatCode>
                <c:ptCount val="11"/>
                <c:pt idx="0">
                  <c:v>378</c:v>
                </c:pt>
                <c:pt idx="1">
                  <c:v>420</c:v>
                </c:pt>
                <c:pt idx="2">
                  <c:v>426</c:v>
                </c:pt>
                <c:pt idx="3">
                  <c:v>313</c:v>
                </c:pt>
                <c:pt idx="4">
                  <c:v>448</c:v>
                </c:pt>
                <c:pt idx="5">
                  <c:v>539</c:v>
                </c:pt>
                <c:pt idx="6">
                  <c:v>848</c:v>
                </c:pt>
                <c:pt idx="7">
                  <c:v>671</c:v>
                </c:pt>
                <c:pt idx="8">
                  <c:v>1162</c:v>
                </c:pt>
                <c:pt idx="9">
                  <c:v>996</c:v>
                </c:pt>
                <c:pt idx="10">
                  <c:v>1177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499008"/>
        <c:axId val="333672832"/>
      </c:barChart>
      <c:catAx>
        <c:axId val="333499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3672832"/>
        <c:crosses val="autoZero"/>
        <c:auto val="1"/>
        <c:lblAlgn val="ctr"/>
        <c:lblOffset val="100"/>
        <c:noMultiLvlLbl val="0"/>
      </c:catAx>
      <c:valAx>
        <c:axId val="33367283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349900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Word]Лист1'!$E$56</c:f>
              <c:strCache>
                <c:ptCount val="1"/>
                <c:pt idx="0">
                  <c:v>Образование тыс. т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6.96864111498258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9686411149825836E-3"/>
                  <c:y val="-3.724393693633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457607433217207E-3"/>
                  <c:y val="-7.4487873872674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Word]Лист1'!$A$57:$A$67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Word]Лист1'!$E$57:$E$67</c:f>
              <c:numCache>
                <c:formatCode>General</c:formatCode>
                <c:ptCount val="11"/>
                <c:pt idx="0">
                  <c:v>2684</c:v>
                </c:pt>
                <c:pt idx="1">
                  <c:v>2798</c:v>
                </c:pt>
                <c:pt idx="2">
                  <c:v>3110</c:v>
                </c:pt>
                <c:pt idx="3">
                  <c:v>3015</c:v>
                </c:pt>
                <c:pt idx="4">
                  <c:v>3411</c:v>
                </c:pt>
                <c:pt idx="5">
                  <c:v>3909</c:v>
                </c:pt>
                <c:pt idx="6">
                  <c:v>3837</c:v>
                </c:pt>
                <c:pt idx="7">
                  <c:v>4151</c:v>
                </c:pt>
                <c:pt idx="8">
                  <c:v>5202</c:v>
                </c:pt>
                <c:pt idx="9">
                  <c:v>5331</c:v>
                </c:pt>
                <c:pt idx="10">
                  <c:v>2908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Word]Лист1'!$F$56</c:f>
              <c:strCache>
                <c:ptCount val="1"/>
                <c:pt idx="0">
                  <c:v>Использование, тыс. т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1.39372822299651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90592334494774E-2"/>
                  <c:y val="6.82797622763113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260162601626021E-2"/>
                  <c:y val="-2.932593459554112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937282229965204E-2"/>
                  <c:y val="-6.827976227631130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937282229965162E-2"/>
                  <c:y val="7.44878738726744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937282229965162E-2"/>
                  <c:y val="1.1173181080901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62601626016260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3619991490134771E-2"/>
                  <c:y val="1.1551463759337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6260162601626021E-2"/>
                  <c:y val="1.1173181080901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5551684088269456E-2"/>
                  <c:y val="1.1173181080901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8583042973286876E-2"/>
                  <c:y val="3.7243936936337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'[Диаграмма в Microsoft Word]Лист1'!$A$57:$A$67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'[Диаграмма в Microsoft Word]Лист1'!$F$57:$F$67</c:f>
              <c:numCache>
                <c:formatCode>General</c:formatCode>
                <c:ptCount val="11"/>
                <c:pt idx="0">
                  <c:v>1919</c:v>
                </c:pt>
                <c:pt idx="1">
                  <c:v>1243</c:v>
                </c:pt>
                <c:pt idx="2">
                  <c:v>1136</c:v>
                </c:pt>
                <c:pt idx="3">
                  <c:v>1249</c:v>
                </c:pt>
                <c:pt idx="4">
                  <c:v>3250</c:v>
                </c:pt>
                <c:pt idx="5">
                  <c:v>3696</c:v>
                </c:pt>
                <c:pt idx="6">
                  <c:v>3575</c:v>
                </c:pt>
                <c:pt idx="7">
                  <c:v>3897</c:v>
                </c:pt>
                <c:pt idx="8">
                  <c:v>4958</c:v>
                </c:pt>
                <c:pt idx="9">
                  <c:v>5121</c:v>
                </c:pt>
                <c:pt idx="10">
                  <c:v>2670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686272"/>
        <c:axId val="333687808"/>
      </c:barChart>
      <c:catAx>
        <c:axId val="33368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3687808"/>
        <c:crosses val="autoZero"/>
        <c:auto val="1"/>
        <c:lblAlgn val="ctr"/>
        <c:lblOffset val="100"/>
        <c:noMultiLvlLbl val="0"/>
      </c:catAx>
      <c:valAx>
        <c:axId val="3336878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3686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отходы!$B$87</c:f>
              <c:strCache>
                <c:ptCount val="1"/>
                <c:pt idx="0">
                  <c:v>Образовано, тыс. 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4370493621741693E-3"/>
                  <c:y val="-1.3925152306353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092623405435389E-2"/>
                  <c:y val="3.4812880765883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7481974486966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185246810870795E-3"/>
                  <c:y val="-2.4369016536118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311148086522463E-2"/>
                  <c:y val="-3.4812880765883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6555740432612306E-3"/>
                  <c:y val="3.191143872506324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8740987243483144E-3"/>
                  <c:y val="2.0887728459530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отходы!$A$88:$A$98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отходы!$B$88:$B$98</c:f>
              <c:numCache>
                <c:formatCode>General</c:formatCode>
                <c:ptCount val="11"/>
                <c:pt idx="0">
                  <c:v>1848</c:v>
                </c:pt>
                <c:pt idx="1">
                  <c:v>1476</c:v>
                </c:pt>
                <c:pt idx="2">
                  <c:v>2606</c:v>
                </c:pt>
                <c:pt idx="3">
                  <c:v>2900</c:v>
                </c:pt>
                <c:pt idx="4">
                  <c:v>2653</c:v>
                </c:pt>
                <c:pt idx="5">
                  <c:v>3602</c:v>
                </c:pt>
                <c:pt idx="6">
                  <c:v>3082</c:v>
                </c:pt>
                <c:pt idx="7">
                  <c:v>2749</c:v>
                </c:pt>
                <c:pt idx="8">
                  <c:v>3109</c:v>
                </c:pt>
                <c:pt idx="9">
                  <c:v>4396</c:v>
                </c:pt>
                <c:pt idx="10">
                  <c:v>4605</c:v>
                </c:pt>
              </c:numCache>
            </c:numRef>
          </c:val>
        </c:ser>
        <c:ser>
          <c:idx val="1"/>
          <c:order val="1"/>
          <c:tx>
            <c:strRef>
              <c:f>отходы!$C$87</c:f>
              <c:strCache>
                <c:ptCount val="1"/>
                <c:pt idx="0">
                  <c:v>Использовано, тыс. т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dLbls>
            <c:dLbl>
              <c:idx val="0"/>
              <c:layout>
                <c:manualLayout>
                  <c:x val="1.33111480865224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529672767609541E-2"/>
                  <c:y val="1.3925152306353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92623405435389E-2"/>
                  <c:y val="1.0443864229765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92623405435348E-2"/>
                  <c:y val="1.0443864229765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092623405435389E-2"/>
                  <c:y val="6.96257615317667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44037714919578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529672767609621E-2"/>
                  <c:y val="1.0443864229765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9966547442800943E-2"/>
                  <c:y val="1.3925152306353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311148086522463E-2"/>
                  <c:y val="6.96257615317667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77481974486966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3311148086522463E-2"/>
                  <c:y val="3.4812880765883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отходы!$A$88:$A$98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отходы!$C$88:$C$98</c:f>
              <c:numCache>
                <c:formatCode>General</c:formatCode>
                <c:ptCount val="11"/>
                <c:pt idx="0">
                  <c:v>1738</c:v>
                </c:pt>
                <c:pt idx="1">
                  <c:v>1433</c:v>
                </c:pt>
                <c:pt idx="2">
                  <c:v>2570</c:v>
                </c:pt>
                <c:pt idx="3">
                  <c:v>2680</c:v>
                </c:pt>
                <c:pt idx="4">
                  <c:v>2599</c:v>
                </c:pt>
                <c:pt idx="5">
                  <c:v>3726</c:v>
                </c:pt>
                <c:pt idx="6">
                  <c:v>2948</c:v>
                </c:pt>
                <c:pt idx="7">
                  <c:v>2683</c:v>
                </c:pt>
                <c:pt idx="8">
                  <c:v>2828</c:v>
                </c:pt>
                <c:pt idx="9">
                  <c:v>1848</c:v>
                </c:pt>
                <c:pt idx="10">
                  <c:v>2557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4844288"/>
        <c:axId val="334845824"/>
      </c:barChart>
      <c:catAx>
        <c:axId val="334844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4845824"/>
        <c:crosses val="autoZero"/>
        <c:auto val="1"/>
        <c:lblAlgn val="ctr"/>
        <c:lblOffset val="100"/>
        <c:noMultiLvlLbl val="0"/>
      </c:catAx>
      <c:valAx>
        <c:axId val="3348458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3348442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C4BE8-53D3-4E8F-BCCD-441309F1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Гуринович</dc:creator>
  <cp:keywords/>
  <dc:description/>
  <cp:lastModifiedBy>А.А. Механиков</cp:lastModifiedBy>
  <cp:revision>6</cp:revision>
  <cp:lastPrinted>2016-10-04T05:08:00Z</cp:lastPrinted>
  <dcterms:created xsi:type="dcterms:W3CDTF">2017-01-10T19:28:00Z</dcterms:created>
  <dcterms:modified xsi:type="dcterms:W3CDTF">2017-01-11T13:01:00Z</dcterms:modified>
</cp:coreProperties>
</file>