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09" w:rsidRPr="00B96F93" w:rsidRDefault="00C33E09" w:rsidP="00C33E09">
      <w:pPr>
        <w:ind w:firstLine="555"/>
        <w:jc w:val="center"/>
        <w:textAlignment w:val="baseline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B96F93">
        <w:rPr>
          <w:b/>
          <w:bCs/>
          <w:sz w:val="28"/>
          <w:szCs w:val="28"/>
          <w:lang w:eastAsia="en-US"/>
        </w:rPr>
        <w:t>Уведомление о проведении общественных обсуждений экологического доклада стратегической экологической оценки проекта Стратегии управления водными ресурсами в условиях изменения климата на период до 2030 года</w:t>
      </w:r>
    </w:p>
    <w:p w:rsidR="00C33E09" w:rsidRPr="00B96F93" w:rsidRDefault="00C33E09" w:rsidP="00C33E09">
      <w:pPr>
        <w:ind w:firstLine="555"/>
        <w:jc w:val="both"/>
        <w:textAlignment w:val="baseline"/>
        <w:rPr>
          <w:sz w:val="28"/>
          <w:szCs w:val="28"/>
          <w:lang w:eastAsia="en-US"/>
        </w:rPr>
      </w:pP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Информация о государственном органе, планирующем разработку документации:</w:t>
      </w:r>
    </w:p>
    <w:p w:rsidR="00C33E09" w:rsidRPr="00B96F93" w:rsidRDefault="00C33E09" w:rsidP="00C33E09">
      <w:pPr>
        <w:ind w:firstLine="567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Министерство природных ресурсов и охраны окружающей среды, 220004, г.Минск, ул.Коллекторная, 10, телефон приемной (+375 17 200-66-91), факс (+375 17 200-55-83), e-mail: minproos@mail.belpak.by 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Наименование документа планирования, для которого проводится стратегическая экологическая оценка, описание: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Стратегическая экологическая оценка проводится для проекта Стратегии управления водными ресурсами в условиях изменения климата на период до 2030 года (далее – проект Водной стратегии до 2030 г.). В проекте Водной стратегии до 2030 г. закреплены базовые принципы государственной политики в области использования и охраны водных объектов и определены основные направления деятельности по охране и использованию водных ресурсов Республики Беларусь. Проект Водной стратегии до 2030 г. содержит общую характеристику водноресурсного потенциала республики: поверхностных и подземных вод, включая минеральные, динамику их использования. В проекте Водной стратегии до 2030 г. выделены приоритетные проблемы и предложены пути их решения в области питьевого водоснабжения, отведения сточных вод, водного транспорта, гидроэнергетики, использования водных ресурсов для рекреации, охраны водных объектов от загрязнения, мониторинга поверхностных и подземных вод. Отдельно выделен раздел об адаптации водозависимых отраслей экономики к изменению климата, указано, что в наиболее уязвимом положении окажутся прежде всего, экосистемы малых рек, места отдыха населения на воде (рекреационные зоны) и отрасли экономики, связанные с водными ресурсами: водный транспорт, гидроэнергетика, сельское хозяйство (при использовании орошения). 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Сроки проведения общественных обсуждений:</w:t>
      </w:r>
    </w:p>
    <w:p w:rsidR="00C33E09" w:rsidRPr="00B96F93" w:rsidRDefault="00C33E09" w:rsidP="00C33E09">
      <w:pPr>
        <w:ind w:firstLine="555"/>
        <w:jc w:val="both"/>
        <w:textAlignment w:val="baseline"/>
        <w:rPr>
          <w:sz w:val="28"/>
          <w:szCs w:val="28"/>
          <w:u w:val="single"/>
          <w:lang w:eastAsia="en-US"/>
        </w:rPr>
      </w:pPr>
      <w:r w:rsidRPr="00B96F93">
        <w:rPr>
          <w:u w:val="single"/>
          <w:lang w:eastAsia="en-US"/>
        </w:rPr>
        <w:t>Общественные обсуждения начинаются с 27 июля 2020 г. до 28 августа 2020 г.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t>Сроки и порядок направления замечаний и предложений по экологическому докладу по СЭО: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Замечания и предложения по экологическому докладу по СЭО направлять в период   с   27 июля до 28 августа 2020 г. в адрес РУП «Центральный научно-исследовательский институт комплексного использования водных ресурсов», 220086, г. Минск, ул. Славинского 1, корпус. 2, телефон приемной (+375 17 272 27 34), факс (+375 17 373 00 32), телефон специалиста по СЭО (+37517 320 40 52), e-mail: </w:t>
      </w:r>
      <w:hyperlink r:id="rId4" w:history="1">
        <w:r w:rsidRPr="00B96F93">
          <w:rPr>
            <w:color w:val="0000FF"/>
            <w:u w:val="single"/>
            <w:lang w:eastAsia="en-US"/>
          </w:rPr>
          <w:t>mail@cricuwr.by</w:t>
        </w:r>
      </w:hyperlink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Экологический доклад по СЭО, включая проект Водной стратегии до 2030 г., размещены на сайтах </w:t>
      </w:r>
      <w:hyperlink r:id="rId5" w:history="1">
        <w:r w:rsidRPr="00B96F93">
          <w:rPr>
            <w:color w:val="0000FF"/>
            <w:u w:val="single"/>
            <w:lang w:eastAsia="en-US"/>
          </w:rPr>
          <w:t>http://www.cricuwr.by</w:t>
        </w:r>
      </w:hyperlink>
      <w:r w:rsidRPr="00B96F93">
        <w:rPr>
          <w:u w:val="single"/>
          <w:lang w:eastAsia="en-US"/>
        </w:rPr>
        <w:t xml:space="preserve"> (РУП «ЦНИИКИВР»), </w:t>
      </w:r>
      <w:hyperlink r:id="rId6" w:history="1">
        <w:r w:rsidRPr="00B96F93">
          <w:rPr>
            <w:color w:val="0000FF"/>
            <w:u w:val="single"/>
            <w:lang w:eastAsia="en-US"/>
          </w:rPr>
          <w:t>http://minpriroda.gov.by/</w:t>
        </w:r>
      </w:hyperlink>
    </w:p>
    <w:p w:rsidR="00C33E09" w:rsidRPr="00B96F93" w:rsidRDefault="00C33E09" w:rsidP="00C33E09">
      <w:pPr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 xml:space="preserve">(Минприроды), </w:t>
      </w:r>
      <w:hyperlink r:id="rId7" w:history="1">
        <w:r w:rsidRPr="00B96F93">
          <w:rPr>
            <w:color w:val="0000FF"/>
            <w:u w:val="single"/>
            <w:lang w:eastAsia="en-US"/>
          </w:rPr>
          <w:t>http://minsk-region.gov.by/</w:t>
        </w:r>
      </w:hyperlink>
      <w:r w:rsidRPr="00B96F93">
        <w:rPr>
          <w:u w:val="single"/>
          <w:lang w:eastAsia="en-US"/>
        </w:rPr>
        <w:t xml:space="preserve"> (Минский облисполком), </w:t>
      </w:r>
      <w:hyperlink r:id="rId8" w:history="1">
        <w:r w:rsidRPr="00B96F93">
          <w:rPr>
            <w:color w:val="0000FF"/>
            <w:u w:val="single"/>
            <w:lang w:eastAsia="en-US"/>
          </w:rPr>
          <w:t>https://minsk.gov.by/</w:t>
        </w:r>
      </w:hyperlink>
      <w:r w:rsidRPr="00B96F93">
        <w:rPr>
          <w:u w:val="single"/>
          <w:lang w:eastAsia="en-US"/>
        </w:rPr>
        <w:t xml:space="preserve"> (Минский горисполком), </w:t>
      </w:r>
      <w:hyperlink r:id="rId9" w:history="1">
        <w:r w:rsidRPr="00B96F93">
          <w:rPr>
            <w:color w:val="0000FF"/>
            <w:u w:val="single"/>
            <w:lang w:eastAsia="en-US"/>
          </w:rPr>
          <w:t>http://brest-region.gov.by/</w:t>
        </w:r>
      </w:hyperlink>
      <w:r w:rsidRPr="00B96F93">
        <w:rPr>
          <w:u w:val="single"/>
          <w:lang w:eastAsia="en-US"/>
        </w:rPr>
        <w:t xml:space="preserve"> (Брестский облисполком), </w:t>
      </w:r>
      <w:hyperlink r:id="rId10" w:history="1">
        <w:r w:rsidRPr="00B96F93">
          <w:rPr>
            <w:color w:val="0000FF"/>
            <w:u w:val="single"/>
            <w:lang w:eastAsia="en-US"/>
          </w:rPr>
          <w:t>http://vitebsk-region.gov.by/</w:t>
        </w:r>
      </w:hyperlink>
      <w:r w:rsidRPr="00B96F93">
        <w:rPr>
          <w:u w:val="single"/>
          <w:lang w:eastAsia="en-US"/>
        </w:rPr>
        <w:t xml:space="preserve"> (Витебский облисполком), </w:t>
      </w:r>
      <w:hyperlink r:id="rId11" w:history="1">
        <w:r w:rsidRPr="00B96F93">
          <w:rPr>
            <w:color w:val="0000FF"/>
            <w:u w:val="single"/>
            <w:lang w:eastAsia="en-US"/>
          </w:rPr>
          <w:t>http://grodno-region.gov.by/</w:t>
        </w:r>
      </w:hyperlink>
      <w:r w:rsidRPr="00B96F93">
        <w:rPr>
          <w:u w:val="single"/>
          <w:lang w:eastAsia="en-US"/>
        </w:rPr>
        <w:t xml:space="preserve"> (Гродненский облисполком), </w:t>
      </w:r>
      <w:hyperlink r:id="rId12" w:history="1">
        <w:r w:rsidRPr="00B96F93">
          <w:rPr>
            <w:color w:val="0000FF"/>
            <w:u w:val="single"/>
            <w:lang w:eastAsia="en-US"/>
          </w:rPr>
          <w:t>http://mogilev-region.gov.by/</w:t>
        </w:r>
      </w:hyperlink>
      <w:r w:rsidRPr="00B96F93">
        <w:rPr>
          <w:u w:val="single"/>
          <w:lang w:eastAsia="en-US"/>
        </w:rPr>
        <w:t xml:space="preserve"> (Могилевский облисполком), </w:t>
      </w:r>
      <w:hyperlink r:id="rId13" w:history="1">
        <w:r w:rsidRPr="00B96F93">
          <w:rPr>
            <w:color w:val="0000FF"/>
            <w:u w:val="single"/>
            <w:lang w:eastAsia="en-US"/>
          </w:rPr>
          <w:t>http://gomel-region.by/</w:t>
        </w:r>
      </w:hyperlink>
      <w:r w:rsidRPr="00B96F93">
        <w:rPr>
          <w:u w:val="single"/>
          <w:lang w:eastAsia="en-US"/>
        </w:rPr>
        <w:t xml:space="preserve"> (Гомельский облисполком). </w:t>
      </w:r>
    </w:p>
    <w:p w:rsidR="00C33E09" w:rsidRPr="00B96F93" w:rsidRDefault="00C33E09" w:rsidP="00C33E09">
      <w:pPr>
        <w:ind w:firstLine="709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Бумажный вариант экологического доклада по СЭО, включая проект Водной стратегии до 2030 г., находятся по адресу РУП «Центральный научно-исследовательский институт комплексного использования водных ресурсов», 220086, г. Минск, ул. Славинского 1, корпус. 2, каб. 210 Министерство природных ресурсов и охраны окружающей среды, 220004, г.Минск, ул.Коллекторная, 10, холл 1 этаж.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Контактное лицо по СЭО: Захарко Полина Николаевна, начальник отдела нормирования воздействия на окружающую среду РУП «ЦНИИКИВР», (+37517 320 40 52), факс (+375 17 373 00 32), e-mail: </w:t>
      </w:r>
      <w:hyperlink r:id="rId14" w:history="1">
        <w:r w:rsidRPr="00B96F93">
          <w:rPr>
            <w:color w:val="0000FF"/>
            <w:u w:val="single"/>
            <w:lang w:eastAsia="en-US"/>
          </w:rPr>
          <w:t>mail@cricuwr.by</w:t>
        </w:r>
      </w:hyperlink>
      <w:r w:rsidRPr="00B96F93">
        <w:rPr>
          <w:u w:val="single"/>
          <w:lang w:eastAsia="en-US"/>
        </w:rPr>
        <w:t>.</w:t>
      </w:r>
    </w:p>
    <w:p w:rsidR="00C33E09" w:rsidRPr="00B96F93" w:rsidRDefault="00C33E09" w:rsidP="00C33E09">
      <w:pPr>
        <w:ind w:firstLine="555"/>
        <w:jc w:val="both"/>
        <w:textAlignment w:val="baseline"/>
        <w:rPr>
          <w:b/>
          <w:bCs/>
          <w:lang w:eastAsia="en-US"/>
        </w:rPr>
      </w:pPr>
      <w:r w:rsidRPr="00B96F93">
        <w:rPr>
          <w:b/>
          <w:bCs/>
          <w:lang w:eastAsia="en-US"/>
        </w:rPr>
        <w:lastRenderedPageBreak/>
        <w:t>Сроки и порядок направления заявления о необходимости проведения собрания по обсуждению экологического доклада по СЭО:</w:t>
      </w:r>
    </w:p>
    <w:p w:rsidR="00C33E09" w:rsidRPr="00B96F93" w:rsidRDefault="00C33E09" w:rsidP="00C33E09">
      <w:pPr>
        <w:ind w:firstLine="555"/>
        <w:jc w:val="both"/>
        <w:textAlignment w:val="baseline"/>
        <w:rPr>
          <w:u w:val="single"/>
          <w:lang w:eastAsia="en-US"/>
        </w:rPr>
      </w:pPr>
      <w:r w:rsidRPr="00B96F93">
        <w:rPr>
          <w:u w:val="single"/>
          <w:lang w:eastAsia="en-US"/>
        </w:rPr>
        <w:t>Подача заявления о необходимости проведения собрания по обсуждению экологического доклада по СЭО осуществляется до 08 августа 2020 г., в адрес РУП «Центральный научно-исследовательский институт комплексного использования водных ресурсов», 220086, г. Минск, ул. Славинского 1, корпус. 2, телефон приемной (+375 17 272 27 34), факс (+375 17 373 00 32), телефон специалиста по СЭО (+37517 320 40 52), e-mail: </w:t>
      </w:r>
      <w:hyperlink r:id="rId15" w:history="1">
        <w:r w:rsidRPr="00B96F93">
          <w:rPr>
            <w:color w:val="0000FF"/>
            <w:u w:val="single"/>
            <w:lang w:eastAsia="en-US"/>
          </w:rPr>
          <w:t>mail@cricuwr.by</w:t>
        </w:r>
      </w:hyperlink>
      <w:r w:rsidRPr="00B96F93">
        <w:rPr>
          <w:color w:val="0000FF"/>
          <w:u w:val="single"/>
          <w:lang w:eastAsia="en-US"/>
        </w:rPr>
        <w:t>.</w:t>
      </w:r>
    </w:p>
    <w:p w:rsidR="00C33E09" w:rsidRPr="00B96F93" w:rsidRDefault="00C33E09" w:rsidP="00C33E0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2638" w:rsidRDefault="00C33E09"/>
    <w:sectPr w:rsidR="000E2638" w:rsidSect="006F770F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09"/>
    <w:rsid w:val="008630E5"/>
    <w:rsid w:val="00C33E09"/>
    <w:rsid w:val="00D8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8F14D-8372-428B-931C-0DB90DC3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.gov.by/" TargetMode="External"/><Relationship Id="rId13" Type="http://schemas.openxmlformats.org/officeDocument/2006/relationships/hyperlink" Target="http://gomel-region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nsk-region.gov.by/" TargetMode="External"/><Relationship Id="rId12" Type="http://schemas.openxmlformats.org/officeDocument/2006/relationships/hyperlink" Target="http://mogilev-region.gov.b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minpriroda.gov.by/" TargetMode="External"/><Relationship Id="rId11" Type="http://schemas.openxmlformats.org/officeDocument/2006/relationships/hyperlink" Target="http://grodno-region.gov.by/" TargetMode="External"/><Relationship Id="rId5" Type="http://schemas.openxmlformats.org/officeDocument/2006/relationships/hyperlink" Target="http://www.cricuwr.by" TargetMode="External"/><Relationship Id="rId15" Type="http://schemas.openxmlformats.org/officeDocument/2006/relationships/hyperlink" Target="mailto:mail@cricuwr.by" TargetMode="External"/><Relationship Id="rId10" Type="http://schemas.openxmlformats.org/officeDocument/2006/relationships/hyperlink" Target="http://vitebsk-region.gov.by/" TargetMode="External"/><Relationship Id="rId4" Type="http://schemas.openxmlformats.org/officeDocument/2006/relationships/hyperlink" Target="mailto:mail@cricuwr.by" TargetMode="External"/><Relationship Id="rId9" Type="http://schemas.openxmlformats.org/officeDocument/2006/relationships/hyperlink" Target="http://brest-region.gov.by/" TargetMode="External"/><Relationship Id="rId14" Type="http://schemas.openxmlformats.org/officeDocument/2006/relationships/hyperlink" Target="mailto:mail@cricuw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k416-2</dc:creator>
  <cp:keywords/>
  <dc:description/>
  <cp:lastModifiedBy>k416-2</cp:lastModifiedBy>
  <cp:revision>1</cp:revision>
  <dcterms:created xsi:type="dcterms:W3CDTF">2020-07-21T11:47:00Z</dcterms:created>
  <dcterms:modified xsi:type="dcterms:W3CDTF">2020-07-21T11:49:00Z</dcterms:modified>
</cp:coreProperties>
</file>