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4B5" w:rsidRDefault="009B64B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8"/>
        <w:gridCol w:w="3854"/>
      </w:tblGrid>
      <w:tr w:rsidR="009B64B5">
        <w:tc>
          <w:tcPr>
            <w:tcW w:w="3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64B5" w:rsidRDefault="009B64B5">
            <w:pPr>
              <w:pStyle w:val="cap1"/>
            </w:pPr>
            <w:r>
              <w:t> </w:t>
            </w:r>
          </w:p>
        </w:tc>
        <w:tc>
          <w:tcPr>
            <w:tcW w:w="19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64B5" w:rsidRDefault="009B64B5">
            <w:pPr>
              <w:pStyle w:val="capu1"/>
            </w:pPr>
            <w:r>
              <w:t>УТВЕРЖДЕНО</w:t>
            </w:r>
          </w:p>
          <w:p w:rsidR="009B64B5" w:rsidRDefault="009B64B5">
            <w:pPr>
              <w:pStyle w:val="cap1"/>
            </w:pPr>
            <w:r>
              <w:t xml:space="preserve">Постановление </w:t>
            </w:r>
            <w:r>
              <w:br/>
              <w:t xml:space="preserve">Министерства природных ресурсов </w:t>
            </w:r>
            <w:r>
              <w:br/>
              <w:t xml:space="preserve">и охраны окружающей среды </w:t>
            </w:r>
            <w:r>
              <w:br/>
              <w:t>Республики Беларусь</w:t>
            </w:r>
          </w:p>
          <w:p w:rsidR="009B64B5" w:rsidRDefault="009B64B5">
            <w:pPr>
              <w:pStyle w:val="cap1"/>
            </w:pPr>
            <w:r>
              <w:t>21.01.2022 № 9</w:t>
            </w:r>
          </w:p>
        </w:tc>
      </w:tr>
    </w:tbl>
    <w:p w:rsidR="009B64B5" w:rsidRDefault="009B64B5" w:rsidP="00EA68C9">
      <w:pPr>
        <w:pStyle w:val="titleu"/>
        <w:jc w:val="both"/>
      </w:pPr>
      <w:r>
        <w:t>РЕГЛАМЕНТ</w:t>
      </w:r>
      <w:r>
        <w:br/>
        <w:t xml:space="preserve">административной процедуры, осуществляемой в отношении субъектов хозяйствования, по подпункту 25.13.1 «Получение заключения (разрешительного документа) на ввоз на таможенную территорию Евразийского экономического союза и (или) вывоз с этой территории либо ввоз в Республику Беларусь с территории государства – члена Евразийского экономического союза и (или) вывоз из Республики Беларусь на территорию государства – члена Евразийского экономического союза включенных в единый перечень товаров, к которым применяются меры нетарифного регулирования в торговле с третьими странами, предусмотренный Протоколом о мерах нетарифного регулирования в отношении третьих стран к Договору о Евразийском экономическом союзе от 29 мая 2014 года (приложение № 7), </w:t>
      </w:r>
      <w:proofErr w:type="spellStart"/>
      <w:r>
        <w:t>озоноразрушающих</w:t>
      </w:r>
      <w:proofErr w:type="spellEnd"/>
      <w:r>
        <w:t xml:space="preserve"> веществ и продукции, содержащей </w:t>
      </w:r>
      <w:proofErr w:type="spellStart"/>
      <w:r>
        <w:t>озоноразрушающие</w:t>
      </w:r>
      <w:proofErr w:type="spellEnd"/>
      <w:r>
        <w:t xml:space="preserve"> вещества»</w:t>
      </w:r>
      <w:bookmarkStart w:id="0" w:name="_GoBack"/>
      <w:bookmarkEnd w:id="0"/>
    </w:p>
    <w:p w:rsidR="009B64B5" w:rsidRDefault="009B64B5">
      <w:pPr>
        <w:pStyle w:val="point"/>
      </w:pPr>
      <w:r>
        <w:t>1. Особенности осуществления административной процедуры:</w:t>
      </w:r>
    </w:p>
    <w:p w:rsidR="009B64B5" w:rsidRDefault="009B64B5">
      <w:pPr>
        <w:pStyle w:val="underpoint"/>
      </w:pPr>
      <w:r>
        <w:t>1.1. наименование уполномоченного органа (подведомственность административной процедуры) – Министерство природных ресурсов и охраны окружающей среды;</w:t>
      </w:r>
    </w:p>
    <w:p w:rsidR="009B64B5" w:rsidRDefault="009B64B5">
      <w:pPr>
        <w:pStyle w:val="underpoint"/>
      </w:pPr>
      <w: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9B64B5" w:rsidRDefault="009B64B5">
      <w:pPr>
        <w:pStyle w:val="newncpi"/>
      </w:pPr>
      <w:r>
        <w:t xml:space="preserve">Соглашение о перемещении </w:t>
      </w:r>
      <w:proofErr w:type="spellStart"/>
      <w:r>
        <w:t>озоноразрушающих</w:t>
      </w:r>
      <w:proofErr w:type="spellEnd"/>
      <w:r>
        <w:t xml:space="preserve"> веществ и содержащей их продукции и учете </w:t>
      </w:r>
      <w:proofErr w:type="spellStart"/>
      <w:r>
        <w:t>озоноразрушающих</w:t>
      </w:r>
      <w:proofErr w:type="spellEnd"/>
      <w:r>
        <w:t xml:space="preserve"> веществ при осуществлении взаимной торговли государств – членов Евразийского экономического союза, заключенное в г. </w:t>
      </w:r>
      <w:proofErr w:type="spellStart"/>
      <w:r>
        <w:t>Бурабай</w:t>
      </w:r>
      <w:proofErr w:type="spellEnd"/>
      <w:r>
        <w:t xml:space="preserve"> 29 мая 2015 года;</w:t>
      </w:r>
    </w:p>
    <w:p w:rsidR="009B64B5" w:rsidRDefault="009B64B5">
      <w:pPr>
        <w:pStyle w:val="newncpi"/>
      </w:pPr>
      <w:r>
        <w:t>Решение Коллегии Евразийской экономической комиссии от 16 мая 2012 г. № 45 «О единой форме заключения (разрешительного документа) на ввоз, вывоз и транзит отдельных товаров, включенных в единый перечень товаров, к которым применяются меры нетарифного регулирования в торговле с третьими странами, и методических указаниях по ее заполнению» (далее – Решение Коллегии ЕЭК № 45);</w:t>
      </w:r>
    </w:p>
    <w:p w:rsidR="009B64B5" w:rsidRDefault="009B64B5">
      <w:pPr>
        <w:pStyle w:val="newncpi"/>
      </w:pPr>
      <w:r>
        <w:t>Решение Коллегии Евразийской экономической комиссии от 21 апреля 2015 г. № 30 «О мерах нетарифного регулирования»;</w:t>
      </w:r>
    </w:p>
    <w:p w:rsidR="009B64B5" w:rsidRDefault="009B64B5">
      <w:pPr>
        <w:pStyle w:val="newncpi"/>
      </w:pPr>
      <w:r>
        <w:t>Закон Республики Беларусь от 12 ноября 2001 г. № 56-З «Об охране озонового слоя»;</w:t>
      </w:r>
    </w:p>
    <w:p w:rsidR="009B64B5" w:rsidRDefault="009B64B5">
      <w:pPr>
        <w:pStyle w:val="newncpi"/>
      </w:pPr>
      <w:r>
        <w:t>Закон Республики Беларусь от 28 октября 2008 г. № 433-З «Об основах административных процедур»;</w:t>
      </w:r>
    </w:p>
    <w:p w:rsidR="009B64B5" w:rsidRDefault="009B64B5">
      <w:pPr>
        <w:pStyle w:val="newncpi"/>
      </w:pPr>
      <w: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9B64B5" w:rsidRDefault="009B64B5">
      <w:pPr>
        <w:pStyle w:val="newncpi"/>
      </w:pPr>
      <w:r>
        <w:t xml:space="preserve">Положение о порядке и условиях выдачи заключений (разрешительных документов) на ввоз на таможенную территорию Евразийского экономического союза и (или) вывоз с таможенной территории Евразийского экономического союза либо ввоз в Республику Беларусь с территории государства – члена Евразийского экономического союза и (или) вывоз из Республики Беларусь на территорию государства – члена Евразийского экономического союза </w:t>
      </w:r>
      <w:proofErr w:type="spellStart"/>
      <w:r>
        <w:t>озоноразрушающих</w:t>
      </w:r>
      <w:proofErr w:type="spellEnd"/>
      <w:r>
        <w:t xml:space="preserve"> веществ и содержащей их продукции, утвержденное постановлением Совета Министров Республики Беларусь от 27 октября 2020 г. № 610 (далее – Положение);</w:t>
      </w:r>
    </w:p>
    <w:p w:rsidR="009B64B5" w:rsidRDefault="009B64B5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9B64B5" w:rsidRDefault="009B64B5">
      <w:pPr>
        <w:pStyle w:val="underpoint"/>
      </w:pPr>
      <w:r>
        <w:t>1.3. иные имеющиеся особенности осуществления административной процедуры:</w:t>
      </w:r>
    </w:p>
    <w:p w:rsidR="009B64B5" w:rsidRDefault="009B64B5">
      <w:pPr>
        <w:pStyle w:val="underpoint"/>
      </w:pPr>
      <w:r>
        <w:t>1.3.1. дополнительные основания для отказа в осуществлении административной процедуры по сравнению с Законом Республики Беларусь «Об основах административных процедур» определены в абзацах втором–четвертом части первой пункта 5 Положения;</w:t>
      </w:r>
    </w:p>
    <w:p w:rsidR="009B64B5" w:rsidRDefault="009B64B5">
      <w:pPr>
        <w:pStyle w:val="underpoint"/>
      </w:pPr>
      <w:r>
        <w:lastRenderedPageBreak/>
        <w:t>1.3.2. обжалование административного решения осуществляется в судебном порядке.</w:t>
      </w:r>
    </w:p>
    <w:p w:rsidR="009B64B5" w:rsidRDefault="009B64B5">
      <w:pPr>
        <w:pStyle w:val="point"/>
      </w:pPr>
      <w: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9B64B5" w:rsidRDefault="009B64B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7"/>
        <w:gridCol w:w="2672"/>
        <w:gridCol w:w="2363"/>
      </w:tblGrid>
      <w:tr w:rsidR="009B64B5">
        <w:trPr>
          <w:trHeight w:val="240"/>
        </w:trPr>
        <w:tc>
          <w:tcPr>
            <w:tcW w:w="242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64B5" w:rsidRDefault="009B64B5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3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64B5" w:rsidRDefault="009B64B5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20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64B5" w:rsidRDefault="009B64B5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9B64B5">
        <w:trPr>
          <w:trHeight w:val="240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64B5" w:rsidRDefault="009B64B5">
            <w:pPr>
              <w:pStyle w:val="table10"/>
            </w:pPr>
            <w:r>
              <w:t xml:space="preserve">заявление на получение заключения (разрешительного документа) на ввоз на таможенную территорию Евразийского экономического союза и (или) вывоз с таможенной территории Евразийского экономического союза либо ввоз в Республику Беларусь с территории государства – члена Евразийского экономического союза и (или) вывоз из Республики Беларусь на территорию государства – члена Евразийского экономического союза </w:t>
            </w:r>
            <w:proofErr w:type="spellStart"/>
            <w:r>
              <w:t>озоноразрушающих</w:t>
            </w:r>
            <w:proofErr w:type="spellEnd"/>
            <w:r>
              <w:t xml:space="preserve"> веществ и содержащей их продукции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64B5" w:rsidRDefault="009B64B5">
            <w:pPr>
              <w:pStyle w:val="table10"/>
            </w:pPr>
            <w:r>
              <w:t>по форме согласно приложению к Положению</w:t>
            </w:r>
          </w:p>
        </w:tc>
        <w:tc>
          <w:tcPr>
            <w:tcW w:w="12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64B5" w:rsidRDefault="009B64B5">
            <w:pPr>
              <w:pStyle w:val="table10"/>
            </w:pPr>
            <w:r>
              <w:t>в письменной форме:</w:t>
            </w:r>
          </w:p>
          <w:p w:rsidR="009B64B5" w:rsidRDefault="009B64B5">
            <w:pPr>
              <w:pStyle w:val="table10"/>
              <w:spacing w:before="120"/>
            </w:pPr>
            <w:r>
              <w:t>в ходе приема заинтересованного лица;</w:t>
            </w:r>
          </w:p>
          <w:p w:rsidR="009B64B5" w:rsidRDefault="009B64B5">
            <w:pPr>
              <w:pStyle w:val="table10"/>
              <w:spacing w:before="120"/>
            </w:pPr>
            <w:r>
              <w:t>по почте;</w:t>
            </w:r>
          </w:p>
          <w:p w:rsidR="009B64B5" w:rsidRDefault="009B64B5">
            <w:pPr>
              <w:pStyle w:val="table10"/>
              <w:spacing w:before="120"/>
            </w:pPr>
            <w:r>
              <w:t>нарочным (курьером)</w:t>
            </w:r>
          </w:p>
        </w:tc>
      </w:tr>
      <w:tr w:rsidR="009B64B5">
        <w:trPr>
          <w:trHeight w:val="240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64B5" w:rsidRDefault="009B64B5">
            <w:pPr>
              <w:pStyle w:val="table10"/>
            </w:pPr>
            <w:r>
              <w:t>копия договора (контракта), а в случае отсутствия договора (контракта) – копия иного документа, подтверждающего намерения сторон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64B5" w:rsidRDefault="009B64B5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B64B5" w:rsidRDefault="009B64B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B64B5">
        <w:trPr>
          <w:trHeight w:val="240"/>
        </w:trPr>
        <w:tc>
          <w:tcPr>
            <w:tcW w:w="379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64B5" w:rsidRDefault="009B64B5">
            <w:pPr>
              <w:pStyle w:val="table10"/>
            </w:pPr>
            <w:r>
              <w:t xml:space="preserve">при ввозе </w:t>
            </w:r>
            <w:proofErr w:type="spellStart"/>
            <w:r>
              <w:t>озоноразрушающих</w:t>
            </w:r>
            <w:proofErr w:type="spellEnd"/>
            <w:r>
              <w:t xml:space="preserve"> веществ и содержащей их продукции: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B64B5" w:rsidRDefault="009B64B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B64B5">
        <w:trPr>
          <w:trHeight w:val="240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64B5" w:rsidRDefault="009B64B5">
            <w:pPr>
              <w:pStyle w:val="table10"/>
            </w:pPr>
            <w:r>
              <w:t xml:space="preserve">копия действующего полиса страхования грузов или иного документа, подтверждающего обеспечение заявителем, осуществляющим ввоз </w:t>
            </w:r>
            <w:proofErr w:type="spellStart"/>
            <w:r>
              <w:t>озоноразрушающих</w:t>
            </w:r>
            <w:proofErr w:type="spellEnd"/>
            <w:r>
              <w:t xml:space="preserve"> веществ и содержащей их продукции, гарантий в случае причинения ущерба здоровью человека и (или) окружающей среде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64B5" w:rsidRDefault="009B64B5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B64B5" w:rsidRDefault="009B64B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B64B5">
        <w:trPr>
          <w:trHeight w:val="240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64B5" w:rsidRDefault="009B64B5">
            <w:pPr>
              <w:pStyle w:val="table10"/>
            </w:pPr>
            <w:r>
              <w:t xml:space="preserve">копия сертификата качества, или копия паспорта безопасности (качества), или копия удостоверения о качестве </w:t>
            </w:r>
            <w:proofErr w:type="spellStart"/>
            <w:r>
              <w:t>озоноразрушающих</w:t>
            </w:r>
            <w:proofErr w:type="spellEnd"/>
            <w:r>
              <w:t xml:space="preserve"> веществ, или копия документа, удостоверяющего соответствие ввозимой на территорию Евразийского экономического союза продукции, содержащей </w:t>
            </w:r>
            <w:proofErr w:type="spellStart"/>
            <w:r>
              <w:t>озоноразрушающие</w:t>
            </w:r>
            <w:proofErr w:type="spellEnd"/>
            <w:r>
              <w:t xml:space="preserve"> вещества, обязательным требованиям в рамках Таможенного союза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64B5" w:rsidRDefault="009B64B5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B64B5" w:rsidRDefault="009B64B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B64B5">
        <w:trPr>
          <w:trHeight w:val="240"/>
        </w:trPr>
        <w:tc>
          <w:tcPr>
            <w:tcW w:w="379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64B5" w:rsidRDefault="009B64B5">
            <w:pPr>
              <w:pStyle w:val="table10"/>
            </w:pPr>
            <w:r>
              <w:t xml:space="preserve">при ввозе </w:t>
            </w:r>
            <w:proofErr w:type="spellStart"/>
            <w:r>
              <w:t>озоноразрушающих</w:t>
            </w:r>
            <w:proofErr w:type="spellEnd"/>
            <w:r>
              <w:t xml:space="preserve"> веществ: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B64B5" w:rsidRDefault="009B64B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B64B5">
        <w:trPr>
          <w:trHeight w:val="240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64B5" w:rsidRDefault="009B64B5">
            <w:pPr>
              <w:pStyle w:val="table10"/>
            </w:pPr>
            <w:r>
              <w:t xml:space="preserve">сведения, подтверждающие, что ввоз </w:t>
            </w:r>
            <w:proofErr w:type="spellStart"/>
            <w:r>
              <w:t>озоноразрушающих</w:t>
            </w:r>
            <w:proofErr w:type="spellEnd"/>
            <w:r>
              <w:t xml:space="preserve"> веществ осуществляется в таре многократного использования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64B5" w:rsidRDefault="009B64B5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B64B5" w:rsidRDefault="009B64B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B64B5">
        <w:trPr>
          <w:trHeight w:val="240"/>
        </w:trPr>
        <w:tc>
          <w:tcPr>
            <w:tcW w:w="379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64B5" w:rsidRDefault="009B64B5">
            <w:pPr>
              <w:pStyle w:val="table10"/>
            </w:pPr>
            <w:r>
              <w:t xml:space="preserve">при ввозе утилизированных и (или) </w:t>
            </w:r>
            <w:proofErr w:type="spellStart"/>
            <w:r>
              <w:t>рециркулированных</w:t>
            </w:r>
            <w:proofErr w:type="spellEnd"/>
            <w:r>
              <w:t xml:space="preserve"> </w:t>
            </w:r>
            <w:proofErr w:type="spellStart"/>
            <w:r>
              <w:t>озоноразрушающих</w:t>
            </w:r>
            <w:proofErr w:type="spellEnd"/>
            <w:r>
              <w:t xml:space="preserve"> веществ в целях восстановления: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B64B5" w:rsidRDefault="009B64B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B64B5">
        <w:trPr>
          <w:trHeight w:val="240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64B5" w:rsidRDefault="009B64B5">
            <w:pPr>
              <w:pStyle w:val="table10"/>
            </w:pPr>
            <w:r>
              <w:t xml:space="preserve">копии документов, подтверждающих наличие у организации оборудования для восстановления в соответствии с требованиями, установленными решениями государств – участников </w:t>
            </w:r>
            <w:proofErr w:type="spellStart"/>
            <w:r>
              <w:t>Монреальского</w:t>
            </w:r>
            <w:proofErr w:type="spellEnd"/>
            <w:r>
              <w:t xml:space="preserve"> протокола (копии инвентарной карточки учета объекта основных средств или договора аренды и акта приема-передачи), или копия договора (контракта) с организацией об осуществлении восстановления </w:t>
            </w:r>
            <w:proofErr w:type="spellStart"/>
            <w:r>
              <w:t>озоноразрушающих</w:t>
            </w:r>
            <w:proofErr w:type="spellEnd"/>
            <w:r>
              <w:t xml:space="preserve"> веществ (если восстановление будет осуществляться не заявителем)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64B5" w:rsidRDefault="009B64B5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B64B5" w:rsidRDefault="009B64B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B64B5">
        <w:trPr>
          <w:trHeight w:val="240"/>
        </w:trPr>
        <w:tc>
          <w:tcPr>
            <w:tcW w:w="379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64B5" w:rsidRDefault="009B64B5">
            <w:pPr>
              <w:pStyle w:val="table10"/>
            </w:pPr>
            <w:r>
              <w:t xml:space="preserve">при ввозе утилизированных и (или) </w:t>
            </w:r>
            <w:proofErr w:type="spellStart"/>
            <w:r>
              <w:t>рециркулированных</w:t>
            </w:r>
            <w:proofErr w:type="spellEnd"/>
            <w:r>
              <w:t xml:space="preserve"> </w:t>
            </w:r>
            <w:proofErr w:type="spellStart"/>
            <w:r>
              <w:t>озоноразрушающих</w:t>
            </w:r>
            <w:proofErr w:type="spellEnd"/>
            <w:r>
              <w:t xml:space="preserve"> веществ в целях уничтожения: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B64B5" w:rsidRDefault="009B64B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B64B5">
        <w:trPr>
          <w:trHeight w:val="240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64B5" w:rsidRDefault="009B64B5">
            <w:pPr>
              <w:pStyle w:val="table10"/>
            </w:pPr>
            <w:r>
              <w:t xml:space="preserve">копии документов, подтверждающих наличие у организации оборудования для уничтожения в соответствии с технологиями уничтожения </w:t>
            </w:r>
            <w:proofErr w:type="spellStart"/>
            <w:r>
              <w:t>озоноразрушающих</w:t>
            </w:r>
            <w:proofErr w:type="spellEnd"/>
            <w:r>
              <w:t xml:space="preserve"> веществ, одобренными решениями государств – участников </w:t>
            </w:r>
            <w:proofErr w:type="spellStart"/>
            <w:r>
              <w:t>Монреальского</w:t>
            </w:r>
            <w:proofErr w:type="spellEnd"/>
            <w:r>
              <w:t xml:space="preserve"> протокола (копии инвентарной карточки учета объекта основных средств или договора аренды и акта приема-передачи), или копия договора (контракта) с организацией об осуществлении уничтожения </w:t>
            </w:r>
            <w:proofErr w:type="spellStart"/>
            <w:r>
              <w:t>озоноразрушающих</w:t>
            </w:r>
            <w:proofErr w:type="spellEnd"/>
            <w:r>
              <w:t xml:space="preserve"> веществ (если уничтожение будет осуществляться не заявителем)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64B5" w:rsidRDefault="009B64B5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B64B5" w:rsidRDefault="009B64B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B64B5">
        <w:trPr>
          <w:trHeight w:val="240"/>
        </w:trPr>
        <w:tc>
          <w:tcPr>
            <w:tcW w:w="379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64B5" w:rsidRDefault="009B64B5">
            <w:pPr>
              <w:pStyle w:val="table10"/>
            </w:pPr>
            <w:r>
              <w:lastRenderedPageBreak/>
              <w:t xml:space="preserve">при ввозе </w:t>
            </w:r>
            <w:proofErr w:type="spellStart"/>
            <w:r>
              <w:t>озоноразрушающих</w:t>
            </w:r>
            <w:proofErr w:type="spellEnd"/>
            <w:r>
              <w:t xml:space="preserve"> веществ в целях использования в качестве сырья: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B64B5" w:rsidRDefault="009B64B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B64B5">
        <w:trPr>
          <w:trHeight w:val="240"/>
        </w:trPr>
        <w:tc>
          <w:tcPr>
            <w:tcW w:w="2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64B5" w:rsidRDefault="009B64B5">
            <w:pPr>
              <w:pStyle w:val="table10"/>
            </w:pPr>
            <w:r>
              <w:t xml:space="preserve">письмо заявителя или копия договора (контракта) с организацией (если использование будет осуществляться не заявителем), подтверждающие использование </w:t>
            </w:r>
            <w:proofErr w:type="spellStart"/>
            <w:r>
              <w:t>озоноразрушающих</w:t>
            </w:r>
            <w:proofErr w:type="spellEnd"/>
            <w:r>
              <w:t xml:space="preserve"> веществ исключительно в качестве сырья для производства химических веществ, не являющихся </w:t>
            </w:r>
            <w:proofErr w:type="spellStart"/>
            <w:r>
              <w:t>озоноразрушающими</w:t>
            </w:r>
            <w:proofErr w:type="spellEnd"/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64B5" w:rsidRDefault="009B64B5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B64B5" w:rsidRDefault="009B64B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B64B5">
        <w:trPr>
          <w:trHeight w:val="240"/>
        </w:trPr>
        <w:tc>
          <w:tcPr>
            <w:tcW w:w="3791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64B5" w:rsidRDefault="009B64B5">
            <w:pPr>
              <w:pStyle w:val="table10"/>
            </w:pPr>
            <w:r>
              <w:t xml:space="preserve">при вывозе </w:t>
            </w:r>
            <w:proofErr w:type="spellStart"/>
            <w:r>
              <w:t>озоноразрушающих</w:t>
            </w:r>
            <w:proofErr w:type="spellEnd"/>
            <w:r>
              <w:t xml:space="preserve"> веществ и содержащей их продукции из Республики Беларусь на территорию государства – члена Евразийского экономического союза: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B64B5" w:rsidRDefault="009B64B5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B64B5">
        <w:trPr>
          <w:trHeight w:val="240"/>
        </w:trPr>
        <w:tc>
          <w:tcPr>
            <w:tcW w:w="242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64B5" w:rsidRDefault="009B64B5">
            <w:pPr>
              <w:pStyle w:val="table10"/>
            </w:pPr>
            <w:r>
              <w:t xml:space="preserve">копия заключения (разрешительного документа) на ввоз </w:t>
            </w:r>
            <w:proofErr w:type="spellStart"/>
            <w:r>
              <w:t>озоноразрушающих</w:t>
            </w:r>
            <w:proofErr w:type="spellEnd"/>
            <w:r>
              <w:t xml:space="preserve"> веществ и содержащей их продукции, выданного компетентным органом государства – члена Евразийского экономического союза, в которое предполагается ввоз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64B5" w:rsidRDefault="009B64B5">
            <w:pPr>
              <w:pStyle w:val="table10"/>
            </w:pPr>
            <w:r>
              <w:t>заключение по форме, утвержденной Решением Коллегии ЕЭК № 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B64B5" w:rsidRDefault="009B64B5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9B64B5" w:rsidRDefault="009B64B5">
      <w:pPr>
        <w:pStyle w:val="newncpi"/>
      </w:pPr>
      <w:r>
        <w:t> </w:t>
      </w:r>
    </w:p>
    <w:p w:rsidR="009B64B5" w:rsidRDefault="009B64B5">
      <w:pPr>
        <w:pStyle w:val="newncpi"/>
      </w:pPr>
      <w: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процедур».</w:t>
      </w:r>
    </w:p>
    <w:p w:rsidR="009B64B5" w:rsidRDefault="009B64B5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9B64B5" w:rsidRDefault="009B64B5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2"/>
        <w:gridCol w:w="2226"/>
        <w:gridCol w:w="2214"/>
      </w:tblGrid>
      <w:tr w:rsidR="009B64B5">
        <w:trPr>
          <w:trHeight w:val="240"/>
        </w:trPr>
        <w:tc>
          <w:tcPr>
            <w:tcW w:w="272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64B5" w:rsidRDefault="009B64B5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1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64B5" w:rsidRDefault="009B64B5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1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B64B5" w:rsidRDefault="009B64B5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9B64B5">
        <w:trPr>
          <w:trHeight w:val="240"/>
        </w:trPr>
        <w:tc>
          <w:tcPr>
            <w:tcW w:w="272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64B5" w:rsidRDefault="009B64B5">
            <w:pPr>
              <w:pStyle w:val="table10"/>
            </w:pPr>
            <w:r>
              <w:t xml:space="preserve">заключение (разрешительный документ) на ввоз на таможенную территорию Евразийского экономического союза и (или) вывоз с этой территории либо ввоз в Республику Беларусь с территории государства – члена Евразийского экономического союза и (или) вывоз из Республики Беларусь на территорию государства – члена Евразийского экономического союза </w:t>
            </w:r>
            <w:proofErr w:type="spellStart"/>
            <w:r>
              <w:t>озоноразрушающих</w:t>
            </w:r>
            <w:proofErr w:type="spellEnd"/>
            <w:r>
              <w:t xml:space="preserve"> веществ и содержащей их продукции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64B5" w:rsidRDefault="009B64B5">
            <w:pPr>
              <w:pStyle w:val="table10"/>
            </w:pPr>
            <w:r>
              <w:t xml:space="preserve">не более одного года 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B64B5" w:rsidRDefault="009B64B5">
            <w:pPr>
              <w:pStyle w:val="table10"/>
            </w:pPr>
            <w:r>
              <w:t>письменная</w:t>
            </w:r>
          </w:p>
        </w:tc>
      </w:tr>
    </w:tbl>
    <w:p w:rsidR="009B64B5" w:rsidRDefault="009B64B5">
      <w:pPr>
        <w:pStyle w:val="newncpi"/>
      </w:pPr>
      <w:r>
        <w:t> </w:t>
      </w:r>
    </w:p>
    <w:p w:rsidR="009B64B5" w:rsidRDefault="009B64B5">
      <w:pPr>
        <w:pStyle w:val="newncpi"/>
      </w:pPr>
      <w:r>
        <w:t> </w:t>
      </w:r>
    </w:p>
    <w:p w:rsidR="004F2F8A" w:rsidRDefault="004F2F8A"/>
    <w:sectPr w:rsidR="004F2F8A" w:rsidSect="009B64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707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4C88" w:rsidRDefault="004F4C88" w:rsidP="009B64B5">
      <w:pPr>
        <w:spacing w:after="0" w:line="240" w:lineRule="auto"/>
      </w:pPr>
      <w:r>
        <w:separator/>
      </w:r>
    </w:p>
  </w:endnote>
  <w:endnote w:type="continuationSeparator" w:id="0">
    <w:p w:rsidR="004F4C88" w:rsidRDefault="004F4C88" w:rsidP="009B6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4B5" w:rsidRDefault="009B64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4B5" w:rsidRDefault="009B64B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9B64B5" w:rsidTr="009B64B5">
      <w:tc>
        <w:tcPr>
          <w:tcW w:w="1800" w:type="dxa"/>
          <w:shd w:val="clear" w:color="auto" w:fill="auto"/>
          <w:vAlign w:val="center"/>
        </w:tcPr>
        <w:p w:rsidR="009B64B5" w:rsidRDefault="009B64B5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1" name="Рисунок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9B64B5" w:rsidRDefault="009B64B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9B64B5" w:rsidRDefault="009B64B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13.04.2023</w:t>
          </w:r>
        </w:p>
        <w:p w:rsidR="009B64B5" w:rsidRPr="009B64B5" w:rsidRDefault="009B64B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9B64B5" w:rsidRDefault="009B64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4C88" w:rsidRDefault="004F4C88" w:rsidP="009B64B5">
      <w:pPr>
        <w:spacing w:after="0" w:line="240" w:lineRule="auto"/>
      </w:pPr>
      <w:r>
        <w:separator/>
      </w:r>
    </w:p>
  </w:footnote>
  <w:footnote w:type="continuationSeparator" w:id="0">
    <w:p w:rsidR="004F4C88" w:rsidRDefault="004F4C88" w:rsidP="009B6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4B5" w:rsidRDefault="009B64B5" w:rsidP="00C12DF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9B64B5" w:rsidRDefault="009B64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4B5" w:rsidRPr="009B64B5" w:rsidRDefault="009B64B5" w:rsidP="00C12DF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B64B5">
      <w:rPr>
        <w:rStyle w:val="a7"/>
        <w:rFonts w:ascii="Times New Roman" w:hAnsi="Times New Roman" w:cs="Times New Roman"/>
        <w:sz w:val="24"/>
      </w:rPr>
      <w:fldChar w:fldCharType="begin"/>
    </w:r>
    <w:r w:rsidRPr="009B64B5">
      <w:rPr>
        <w:rStyle w:val="a7"/>
        <w:rFonts w:ascii="Times New Roman" w:hAnsi="Times New Roman" w:cs="Times New Roman"/>
        <w:sz w:val="24"/>
      </w:rPr>
      <w:instrText xml:space="preserve"> PAGE </w:instrText>
    </w:r>
    <w:r w:rsidRPr="009B64B5">
      <w:rPr>
        <w:rStyle w:val="a7"/>
        <w:rFonts w:ascii="Times New Roman" w:hAnsi="Times New Roman" w:cs="Times New Roman"/>
        <w:sz w:val="24"/>
      </w:rPr>
      <w:fldChar w:fldCharType="separate"/>
    </w:r>
    <w:r w:rsidRPr="009B64B5">
      <w:rPr>
        <w:rStyle w:val="a7"/>
        <w:rFonts w:ascii="Times New Roman" w:hAnsi="Times New Roman" w:cs="Times New Roman"/>
        <w:noProof/>
        <w:sz w:val="24"/>
      </w:rPr>
      <w:t>20</w:t>
    </w:r>
    <w:r w:rsidRPr="009B64B5">
      <w:rPr>
        <w:rStyle w:val="a7"/>
        <w:rFonts w:ascii="Times New Roman" w:hAnsi="Times New Roman" w:cs="Times New Roman"/>
        <w:sz w:val="24"/>
      </w:rPr>
      <w:fldChar w:fldCharType="end"/>
    </w:r>
  </w:p>
  <w:p w:rsidR="009B64B5" w:rsidRPr="009B64B5" w:rsidRDefault="009B64B5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64B5" w:rsidRDefault="009B64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B5"/>
    <w:rsid w:val="004F2F8A"/>
    <w:rsid w:val="004F4C88"/>
    <w:rsid w:val="009B64B5"/>
    <w:rsid w:val="00EA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719E4-9172-45F2-B952-231836BB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9B64B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  <w:style w:type="paragraph" w:customStyle="1" w:styleId="agree">
    <w:name w:val="agree"/>
    <w:basedOn w:val="a"/>
    <w:rsid w:val="009B64B5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titlep">
    <w:name w:val="titlep"/>
    <w:basedOn w:val="a"/>
    <w:rsid w:val="009B64B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9B64B5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titleu">
    <w:name w:val="titleu"/>
    <w:basedOn w:val="a"/>
    <w:rsid w:val="009B64B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point">
    <w:name w:val="point"/>
    <w:basedOn w:val="a"/>
    <w:rsid w:val="009B64B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erpoint">
    <w:name w:val="underpoint"/>
    <w:basedOn w:val="a"/>
    <w:rsid w:val="009B64B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preamble">
    <w:name w:val="preamble"/>
    <w:basedOn w:val="a"/>
    <w:rsid w:val="009B64B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snoski">
    <w:name w:val="snoski"/>
    <w:basedOn w:val="a"/>
    <w:rsid w:val="009B64B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9B64B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9B64B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9B64B5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9B64B5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1">
    <w:name w:val="cap1"/>
    <w:basedOn w:val="a"/>
    <w:rsid w:val="009B64B5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u1">
    <w:name w:val="capu1"/>
    <w:basedOn w:val="a"/>
    <w:rsid w:val="009B64B5"/>
    <w:pPr>
      <w:spacing w:after="12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9B64B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9B64B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9B64B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character" w:customStyle="1" w:styleId="name">
    <w:name w:val="name"/>
    <w:basedOn w:val="a0"/>
    <w:rsid w:val="009B64B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B64B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B64B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B64B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B64B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B64B5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9B6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64B5"/>
  </w:style>
  <w:style w:type="paragraph" w:styleId="a5">
    <w:name w:val="footer"/>
    <w:basedOn w:val="a"/>
    <w:link w:val="a6"/>
    <w:uiPriority w:val="99"/>
    <w:unhideWhenUsed/>
    <w:rsid w:val="009B6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64B5"/>
  </w:style>
  <w:style w:type="character" w:styleId="a7">
    <w:name w:val="page number"/>
    <w:basedOn w:val="a0"/>
    <w:uiPriority w:val="99"/>
    <w:semiHidden/>
    <w:unhideWhenUsed/>
    <w:rsid w:val="009B64B5"/>
  </w:style>
  <w:style w:type="table" w:styleId="a8">
    <w:name w:val="Table Grid"/>
    <w:basedOn w:val="a1"/>
    <w:uiPriority w:val="39"/>
    <w:rsid w:val="009B6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920</Words>
  <Characters>7342</Characters>
  <Application>Microsoft Office Word</Application>
  <DocSecurity>0</DocSecurity>
  <Lines>198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Васильевна Клименко</dc:creator>
  <cp:keywords/>
  <dc:description/>
  <cp:lastModifiedBy>Наталья Васильевна Клименко</cp:lastModifiedBy>
  <cp:revision>2</cp:revision>
  <dcterms:created xsi:type="dcterms:W3CDTF">2023-04-13T12:08:00Z</dcterms:created>
  <dcterms:modified xsi:type="dcterms:W3CDTF">2023-04-13T12:12:00Z</dcterms:modified>
</cp:coreProperties>
</file>