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B" w:rsidRPr="00F124A9" w:rsidRDefault="008971AB" w:rsidP="004D775B">
      <w:pPr>
        <w:pStyle w:val="SIMPLE"/>
        <w:ind w:right="5953"/>
        <w:rPr>
          <w:b/>
          <w:bCs/>
          <w:lang w:val="en-US"/>
        </w:rPr>
      </w:pPr>
      <w:r w:rsidRPr="00F124A9">
        <w:rPr>
          <w:b/>
          <w:bCs/>
          <w:lang w:val="en-US"/>
        </w:rPr>
        <w:t>Ministry of Natural Resources and Environmental Protection of the Republic of Belarus</w:t>
      </w:r>
    </w:p>
    <w:p w:rsidR="008971AB" w:rsidRPr="00F124A9" w:rsidRDefault="008971AB" w:rsidP="00C839EA">
      <w:pPr>
        <w:pStyle w:val="SIMPLE"/>
        <w:rPr>
          <w:b/>
          <w:bCs/>
          <w:lang w:val="en-US"/>
        </w:rPr>
      </w:pPr>
      <w:r w:rsidRPr="00F124A9">
        <w:rPr>
          <w:b/>
          <w:bCs/>
          <w:lang w:val="en-US"/>
        </w:rPr>
        <w:t xml:space="preserve">DECISION OF THE BOARD </w:t>
      </w:r>
    </w:p>
    <w:p w:rsidR="008971AB" w:rsidRDefault="008971AB" w:rsidP="00C839EA">
      <w:pPr>
        <w:pStyle w:val="SIMPLE"/>
        <w:rPr>
          <w:lang w:val="en-US"/>
        </w:rPr>
      </w:pPr>
    </w:p>
    <w:p w:rsidR="008971AB" w:rsidRDefault="008971AB" w:rsidP="00C839EA">
      <w:pPr>
        <w:pStyle w:val="SIMPLE"/>
        <w:rPr>
          <w:lang w:val="en-US"/>
        </w:rPr>
      </w:pPr>
      <w:r>
        <w:rPr>
          <w:lang w:val="en-US"/>
        </w:rPr>
        <w:t>28.02.2013 No. 19-P</w:t>
      </w:r>
    </w:p>
    <w:p w:rsidR="008971AB" w:rsidRDefault="008971AB" w:rsidP="00C839EA">
      <w:pPr>
        <w:pStyle w:val="SIMPLE"/>
        <w:rPr>
          <w:lang w:val="en-US"/>
        </w:rPr>
      </w:pPr>
    </w:p>
    <w:p w:rsidR="008971AB" w:rsidRDefault="008971AB" w:rsidP="00C839EA">
      <w:pPr>
        <w:pStyle w:val="SIMPLE"/>
        <w:rPr>
          <w:lang w:val="en-US"/>
        </w:rPr>
      </w:pPr>
      <w:r>
        <w:rPr>
          <w:lang w:val="en-US"/>
        </w:rPr>
        <w:t>Minsk</w:t>
      </w:r>
    </w:p>
    <w:p w:rsidR="008971AB" w:rsidRDefault="008971AB" w:rsidP="00C839EA">
      <w:pPr>
        <w:pStyle w:val="SIMPLE"/>
        <w:rPr>
          <w:lang w:val="en-US"/>
        </w:rPr>
      </w:pPr>
    </w:p>
    <w:p w:rsidR="008971AB" w:rsidRDefault="008971AB" w:rsidP="004060B0">
      <w:pPr>
        <w:pStyle w:val="SIMPLE"/>
        <w:ind w:right="4960"/>
        <w:rPr>
          <w:lang w:val="en-US"/>
        </w:rPr>
      </w:pPr>
      <w:r>
        <w:rPr>
          <w:lang w:val="en-US"/>
        </w:rPr>
        <w:t>Concerning the draft HCFC Phase Out Strategy of the Republic of Belarus until 2020</w:t>
      </w:r>
    </w:p>
    <w:p w:rsidR="008971AB" w:rsidRDefault="008971AB" w:rsidP="00F0791B">
      <w:pPr>
        <w:pStyle w:val="SIMPLE"/>
        <w:rPr>
          <w:lang w:val="en-US"/>
        </w:rPr>
      </w:pPr>
    </w:p>
    <w:p w:rsidR="008971AB" w:rsidRDefault="008971AB" w:rsidP="006D7CF6">
      <w:pPr>
        <w:pStyle w:val="SIMPLE"/>
        <w:rPr>
          <w:lang w:val="en-US"/>
        </w:rPr>
      </w:pPr>
      <w:r>
        <w:rPr>
          <w:lang w:val="en-US"/>
        </w:rPr>
        <w:t>Having listened to the report of S.V. Zavyalov, Head of the Department for Regulation of Impact on Ambient Air and Water Resources, and having reviewed the materials submitted under the draft HCFC Phase-Out Strategy of the Republic of Belarus until 2020, the Board of the Ministry of Natural Resources and Environmental Protection of the Republic of Belarus DECIDED:</w:t>
      </w:r>
    </w:p>
    <w:p w:rsidR="008971AB" w:rsidRDefault="008971AB" w:rsidP="004060B0">
      <w:pPr>
        <w:pStyle w:val="SIMPLE"/>
        <w:numPr>
          <w:ilvl w:val="0"/>
          <w:numId w:val="1"/>
        </w:numPr>
        <w:rPr>
          <w:lang w:val="en-US"/>
        </w:rPr>
      </w:pPr>
      <w:r>
        <w:rPr>
          <w:lang w:val="en-US"/>
        </w:rPr>
        <w:t>To approve the HCFC Phase-Out Strategy of the Republic of Belarus until 2020 (enclosed herein).</w:t>
      </w:r>
    </w:p>
    <w:p w:rsidR="008971AB" w:rsidRDefault="008971AB" w:rsidP="004060B0">
      <w:pPr>
        <w:pStyle w:val="SIMPLE"/>
        <w:numPr>
          <w:ilvl w:val="0"/>
          <w:numId w:val="1"/>
        </w:numPr>
        <w:rPr>
          <w:lang w:val="en-US"/>
        </w:rPr>
      </w:pPr>
      <w:r>
        <w:rPr>
          <w:lang w:val="en-US"/>
        </w:rPr>
        <w:t>To assign the Department for regulation of impact on ambient air and water resources (S.V. Zavyalov) with the task to send the</w:t>
      </w:r>
      <w:r w:rsidRPr="00627888">
        <w:rPr>
          <w:lang w:val="en-US"/>
        </w:rPr>
        <w:t xml:space="preserve"> </w:t>
      </w:r>
      <w:r>
        <w:rPr>
          <w:lang w:val="en-US"/>
        </w:rPr>
        <w:t>HCFC Phase-Out Strategy of the Republic of Belarus until 2020 to all concerned government agencies and other organizations within 10 business days.</w:t>
      </w:r>
    </w:p>
    <w:p w:rsidR="008971AB" w:rsidRDefault="008971AB" w:rsidP="00627888">
      <w:pPr>
        <w:pStyle w:val="SIMPLE"/>
        <w:rPr>
          <w:lang w:val="en-US"/>
        </w:rPr>
      </w:pPr>
      <w:r>
        <w:rPr>
          <w:lang w:val="en-US"/>
        </w:rPr>
        <w:t xml:space="preserve">Minister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V.G. Tsalko   </w:t>
      </w:r>
    </w:p>
    <w:p w:rsidR="008971AB" w:rsidRDefault="008971AB" w:rsidP="00F26BC4">
      <w:pPr>
        <w:pStyle w:val="SIMPLE"/>
        <w:rPr>
          <w:lang w:val="en-US"/>
        </w:rPr>
      </w:pPr>
      <w:r>
        <w:rPr>
          <w:lang w:val="en-US"/>
        </w:rPr>
        <w:t xml:space="preserve">  </w:t>
      </w:r>
    </w:p>
    <w:p w:rsidR="008971AB" w:rsidRDefault="008971AB" w:rsidP="00C839EA">
      <w:pPr>
        <w:pStyle w:val="SIMPLE"/>
        <w:rPr>
          <w:lang w:val="en-US"/>
        </w:rPr>
      </w:pPr>
    </w:p>
    <w:p w:rsidR="008971AB" w:rsidRDefault="008971AB" w:rsidP="004D775B">
      <w:pPr>
        <w:pStyle w:val="SIMPLE"/>
        <w:ind w:right="5527"/>
        <w:rPr>
          <w:b/>
          <w:bCs/>
          <w:lang w:val="en-US"/>
        </w:rPr>
      </w:pPr>
    </w:p>
    <w:p w:rsidR="008971AB" w:rsidRDefault="008971AB" w:rsidP="004D775B">
      <w:pPr>
        <w:pStyle w:val="SIMPLE"/>
        <w:ind w:right="5527"/>
        <w:rPr>
          <w:b/>
          <w:bCs/>
          <w:lang w:val="en-US"/>
        </w:rPr>
      </w:pPr>
    </w:p>
    <w:p w:rsidR="008971AB" w:rsidRDefault="008971AB" w:rsidP="004D775B">
      <w:pPr>
        <w:pStyle w:val="SIMPLE"/>
        <w:ind w:right="5527"/>
        <w:rPr>
          <w:b/>
          <w:bCs/>
          <w:lang w:val="en-US"/>
        </w:rPr>
      </w:pPr>
    </w:p>
    <w:p w:rsidR="008971AB" w:rsidRDefault="008971AB" w:rsidP="004D775B">
      <w:pPr>
        <w:pStyle w:val="SIMPLE"/>
        <w:ind w:right="5527"/>
        <w:rPr>
          <w:b/>
          <w:bCs/>
          <w:lang w:val="en-US"/>
        </w:rPr>
      </w:pPr>
    </w:p>
    <w:p w:rsidR="008971AB" w:rsidRPr="004D775B" w:rsidRDefault="008971AB" w:rsidP="004D775B">
      <w:pPr>
        <w:pStyle w:val="SIMPLE"/>
        <w:ind w:right="5527"/>
        <w:rPr>
          <w:b/>
          <w:bCs/>
          <w:lang w:val="en-US"/>
        </w:rPr>
      </w:pPr>
      <w:r w:rsidRPr="004D775B">
        <w:rPr>
          <w:b/>
          <w:bCs/>
          <w:lang w:val="en-US"/>
        </w:rPr>
        <w:t xml:space="preserve">COUNCIL OF MINISTERS OF </w:t>
      </w:r>
      <w:r w:rsidRPr="004D775B">
        <w:rPr>
          <w:b/>
          <w:bCs/>
          <w:u w:val="single"/>
          <w:lang w:val="en-US"/>
        </w:rPr>
        <w:t>THE REPUBLIC OF BELARUS</w:t>
      </w:r>
    </w:p>
    <w:p w:rsidR="008971AB" w:rsidRDefault="008971AB" w:rsidP="004D775B">
      <w:pPr>
        <w:pStyle w:val="SIMPLE"/>
        <w:rPr>
          <w:b/>
          <w:bCs/>
          <w:lang w:val="en-US"/>
        </w:rPr>
      </w:pPr>
    </w:p>
    <w:p w:rsidR="008971AB" w:rsidRPr="004D775B" w:rsidRDefault="008971AB" w:rsidP="004D775B">
      <w:pPr>
        <w:pStyle w:val="SIMPLE"/>
        <w:rPr>
          <w:b/>
          <w:bCs/>
          <w:u w:val="single"/>
          <w:lang w:val="en-US"/>
        </w:rPr>
      </w:pPr>
      <w:r w:rsidRPr="004D775B">
        <w:rPr>
          <w:b/>
          <w:bCs/>
          <w:u w:val="single"/>
          <w:lang w:val="en-US"/>
        </w:rPr>
        <w:t>V.G. Tsalko</w:t>
      </w:r>
    </w:p>
    <w:p w:rsidR="008971AB" w:rsidRPr="004D775B" w:rsidRDefault="008971AB" w:rsidP="004D775B">
      <w:pPr>
        <w:pStyle w:val="SIMPLE"/>
        <w:rPr>
          <w:b/>
          <w:bCs/>
          <w:lang w:val="en-US"/>
        </w:rPr>
      </w:pPr>
    </w:p>
    <w:p w:rsidR="008971AB" w:rsidRPr="004D775B" w:rsidRDefault="008971AB" w:rsidP="00931753">
      <w:pPr>
        <w:pStyle w:val="SIMPLE"/>
        <w:rPr>
          <w:b/>
          <w:bCs/>
          <w:lang w:val="en-US"/>
        </w:rPr>
      </w:pPr>
      <w:r w:rsidRPr="004D775B">
        <w:rPr>
          <w:b/>
          <w:bCs/>
          <w:lang w:val="en-US"/>
        </w:rPr>
        <w:t xml:space="preserve">Please, make the </w:t>
      </w:r>
      <w:r>
        <w:rPr>
          <w:b/>
          <w:bCs/>
          <w:lang w:val="en-US"/>
        </w:rPr>
        <w:t>HCFC Phase-</w:t>
      </w:r>
      <w:r w:rsidRPr="004060B0">
        <w:rPr>
          <w:b/>
          <w:bCs/>
          <w:lang w:val="en-US"/>
        </w:rPr>
        <w:t>Out Strategy of the Republic of Belarus</w:t>
      </w:r>
      <w:r>
        <w:rPr>
          <w:lang w:val="en-US"/>
        </w:rPr>
        <w:t xml:space="preserve"> </w:t>
      </w:r>
      <w:r w:rsidRPr="004D775B">
        <w:rPr>
          <w:b/>
          <w:bCs/>
          <w:lang w:val="en-US"/>
        </w:rPr>
        <w:t xml:space="preserve">until 2020 available to all </w:t>
      </w:r>
      <w:r>
        <w:rPr>
          <w:b/>
          <w:bCs/>
          <w:lang w:val="en-US"/>
        </w:rPr>
        <w:t>stakeholders</w:t>
      </w:r>
      <w:r w:rsidRPr="004D775B">
        <w:rPr>
          <w:b/>
          <w:bCs/>
          <w:lang w:val="en-US"/>
        </w:rPr>
        <w:t xml:space="preserve"> and </w:t>
      </w:r>
      <w:r>
        <w:rPr>
          <w:b/>
          <w:bCs/>
          <w:lang w:val="en-US"/>
        </w:rPr>
        <w:t>ensure</w:t>
      </w:r>
      <w:r w:rsidRPr="004D775B">
        <w:rPr>
          <w:b/>
          <w:bCs/>
          <w:lang w:val="en-US"/>
        </w:rPr>
        <w:t xml:space="preserve"> that it is duly implemented through joint effort.</w:t>
      </w:r>
    </w:p>
    <w:p w:rsidR="008971AB" w:rsidRDefault="008971AB" w:rsidP="004D775B">
      <w:pPr>
        <w:pStyle w:val="SIMPLE"/>
        <w:jc w:val="right"/>
        <w:rPr>
          <w:b/>
          <w:bCs/>
          <w:lang w:val="en-US"/>
        </w:rPr>
      </w:pPr>
    </w:p>
    <w:p w:rsidR="008971AB" w:rsidRDefault="008971AB" w:rsidP="004D775B">
      <w:pPr>
        <w:pStyle w:val="SIMPLE"/>
        <w:jc w:val="right"/>
        <w:rPr>
          <w:b/>
          <w:bCs/>
          <w:lang w:val="en-US"/>
        </w:rPr>
      </w:pPr>
    </w:p>
    <w:p w:rsidR="008971AB" w:rsidRPr="004D775B" w:rsidRDefault="008971AB" w:rsidP="004D775B">
      <w:pPr>
        <w:pStyle w:val="SIMPLE"/>
        <w:jc w:val="right"/>
        <w:rPr>
          <w:b/>
          <w:bCs/>
          <w:lang w:val="en-US"/>
        </w:rPr>
      </w:pPr>
      <w:r w:rsidRPr="004D775B">
        <w:rPr>
          <w:b/>
          <w:bCs/>
          <w:lang w:val="en-US"/>
        </w:rPr>
        <w:t>M. Rusy</w:t>
      </w:r>
    </w:p>
    <w:p w:rsidR="008971AB" w:rsidRDefault="008971AB" w:rsidP="004D775B">
      <w:pPr>
        <w:pStyle w:val="SIMPLE"/>
        <w:rPr>
          <w:lang w:val="en-US"/>
        </w:rPr>
      </w:pPr>
      <w:r>
        <w:rPr>
          <w:lang w:val="en-US"/>
        </w:rPr>
        <w:t>March 13, 2013</w:t>
      </w:r>
    </w:p>
    <w:p w:rsidR="008971AB" w:rsidRDefault="008971AB" w:rsidP="004D775B">
      <w:pPr>
        <w:pStyle w:val="SIMPLE"/>
        <w:rPr>
          <w:lang w:val="en-US"/>
        </w:rPr>
      </w:pPr>
      <w:r>
        <w:rPr>
          <w:lang w:val="en-US"/>
        </w:rPr>
        <w:t>No. 06/214-62</w:t>
      </w:r>
    </w:p>
    <w:p w:rsidR="008971AB" w:rsidRDefault="008971AB" w:rsidP="004D775B">
      <w:pPr>
        <w:pStyle w:val="SIMPLE"/>
        <w:rPr>
          <w:sz w:val="20"/>
          <w:szCs w:val="20"/>
          <w:lang w:val="en-US"/>
        </w:rPr>
      </w:pPr>
      <w:r w:rsidRPr="004D775B">
        <w:rPr>
          <w:sz w:val="20"/>
          <w:szCs w:val="20"/>
          <w:lang w:val="en-US"/>
        </w:rPr>
        <w:t>L.V. Filon 222-63-66</w:t>
      </w:r>
    </w:p>
    <w:p w:rsidR="008971AB" w:rsidRDefault="008971AB" w:rsidP="004D775B">
      <w:pPr>
        <w:pStyle w:val="SIMPLE"/>
        <w:rPr>
          <w:sz w:val="20"/>
          <w:szCs w:val="20"/>
          <w:lang w:val="en-US"/>
        </w:rPr>
      </w:pPr>
    </w:p>
    <w:p w:rsidR="008971AB" w:rsidRDefault="008971AB" w:rsidP="004D775B">
      <w:pPr>
        <w:pStyle w:val="SIMPLE"/>
        <w:rPr>
          <w:sz w:val="20"/>
          <w:szCs w:val="20"/>
          <w:lang w:val="en-US"/>
        </w:rPr>
      </w:pPr>
    </w:p>
    <w:p w:rsidR="008971AB" w:rsidRDefault="008971AB" w:rsidP="004D775B">
      <w:pPr>
        <w:pStyle w:val="SIMPLE"/>
        <w:rPr>
          <w:sz w:val="20"/>
          <w:szCs w:val="20"/>
          <w:lang w:val="en-US"/>
        </w:rPr>
      </w:pPr>
    </w:p>
    <w:p w:rsidR="008971AB" w:rsidRDefault="008971AB" w:rsidP="004D775B">
      <w:pPr>
        <w:pStyle w:val="SIMPLE"/>
        <w:rPr>
          <w:sz w:val="20"/>
          <w:szCs w:val="20"/>
          <w:lang w:val="en-US"/>
        </w:rPr>
      </w:pPr>
    </w:p>
    <w:p w:rsidR="008971AB" w:rsidRDefault="008971AB" w:rsidP="004D775B">
      <w:pPr>
        <w:pStyle w:val="SIMPLE"/>
        <w:rPr>
          <w:sz w:val="20"/>
          <w:szCs w:val="20"/>
          <w:lang w:val="en-US"/>
        </w:rPr>
      </w:pPr>
    </w:p>
    <w:p w:rsidR="008971AB" w:rsidRDefault="008971AB" w:rsidP="004D775B">
      <w:pPr>
        <w:pStyle w:val="SIMPLE"/>
        <w:rPr>
          <w:lang w:val="en-US"/>
        </w:rPr>
      </w:pPr>
    </w:p>
    <w:p w:rsidR="008971AB" w:rsidRDefault="008971AB" w:rsidP="004D775B">
      <w:pPr>
        <w:pStyle w:val="SIMPLE"/>
        <w:rPr>
          <w:lang w:val="en-US"/>
        </w:rPr>
      </w:pPr>
    </w:p>
    <w:p w:rsidR="008971AB" w:rsidRDefault="008971AB" w:rsidP="004D775B">
      <w:pPr>
        <w:pStyle w:val="SIMPLE"/>
        <w:rPr>
          <w:lang w:val="en-US"/>
        </w:rPr>
      </w:pPr>
    </w:p>
    <w:p w:rsidR="008971AB" w:rsidRDefault="008971AB" w:rsidP="004D775B">
      <w:pPr>
        <w:pStyle w:val="SIMPLE"/>
        <w:rPr>
          <w:lang w:val="en-US"/>
        </w:rPr>
      </w:pPr>
    </w:p>
    <w:p w:rsidR="008971AB" w:rsidRDefault="008971AB" w:rsidP="004D775B">
      <w:pPr>
        <w:pStyle w:val="SIMPLE"/>
        <w:rPr>
          <w:lang w:val="en-US"/>
        </w:rPr>
      </w:pPr>
      <w:r>
        <w:rPr>
          <w:lang w:val="en-US"/>
        </w:rPr>
        <w:t>MINISTRY OF NATURAL RESOURCES AND ENVIRONMENTAL PROTECTION OF THE REPUBLIC OF BELARUS</w:t>
      </w:r>
    </w:p>
    <w:p w:rsidR="008971AB" w:rsidRDefault="008971AB" w:rsidP="004D775B">
      <w:pPr>
        <w:pStyle w:val="SIMPLE"/>
        <w:rPr>
          <w:lang w:val="en-US"/>
        </w:rPr>
      </w:pPr>
    </w:p>
    <w:p w:rsidR="008971AB" w:rsidRDefault="008971AB" w:rsidP="004D775B">
      <w:pPr>
        <w:pStyle w:val="SIMPLE"/>
        <w:rPr>
          <w:lang w:val="en-US"/>
        </w:rPr>
      </w:pPr>
      <w:r>
        <w:rPr>
          <w:lang w:val="en-US"/>
        </w:rPr>
        <w:t>20.03.2013 No. 12-1/317</w:t>
      </w:r>
    </w:p>
    <w:p w:rsidR="008971AB" w:rsidRDefault="008971AB" w:rsidP="004D775B">
      <w:pPr>
        <w:pStyle w:val="SIMPLE"/>
        <w:rPr>
          <w:lang w:val="en-US"/>
        </w:rPr>
      </w:pPr>
    </w:p>
    <w:p w:rsidR="008971AB" w:rsidRDefault="008971AB" w:rsidP="004D775B">
      <w:pPr>
        <w:pStyle w:val="SIMPLE"/>
        <w:rPr>
          <w:lang w:val="en-US"/>
        </w:rPr>
      </w:pPr>
      <w:r>
        <w:rPr>
          <w:lang w:val="en-US"/>
        </w:rPr>
        <w:t>State authorities, other government organizations subordinate to the Government of the Republic of Belarus, executive committees and Minsk municipal executive committee (in line with the list)</w:t>
      </w:r>
    </w:p>
    <w:p w:rsidR="008971AB" w:rsidRDefault="008971AB" w:rsidP="007F0052">
      <w:pPr>
        <w:pStyle w:val="SIMPLE"/>
        <w:rPr>
          <w:lang w:val="en-US"/>
        </w:rPr>
      </w:pPr>
      <w:r>
        <w:rPr>
          <w:lang w:val="en-US"/>
        </w:rPr>
        <w:t>(to be forwarded to postal addresses of relevant government agencies)</w:t>
      </w:r>
    </w:p>
    <w:p w:rsidR="008971AB" w:rsidRDefault="008971AB" w:rsidP="006D7CF6">
      <w:pPr>
        <w:pStyle w:val="SIMPLE"/>
        <w:rPr>
          <w:lang w:val="en-US"/>
        </w:rPr>
      </w:pPr>
      <w:r>
        <w:rPr>
          <w:lang w:val="en-US"/>
        </w:rPr>
        <w:t xml:space="preserve">Concerning the progress in the implementation of the HCFC Phase-Out Strategy of the Republic of Belarus until 2020  </w:t>
      </w:r>
    </w:p>
    <w:p w:rsidR="008971AB" w:rsidRDefault="008971AB" w:rsidP="00E01466">
      <w:pPr>
        <w:pStyle w:val="SIMPLE"/>
        <w:rPr>
          <w:lang w:val="en-US"/>
        </w:rPr>
      </w:pPr>
      <w:r>
        <w:rPr>
          <w:lang w:val="en-US"/>
        </w:rPr>
        <w:t>In pursuance of the instruction of the Council of Ministers of the Republic of Belarus dated March 13, 2013 No. 06/214-62 the Ministry of Natural Resources and Environmental Protection of the Republic of Belarus (hereinafter – MNREP) hereby forwards the HCFC Phase-Out Strategy of the Republic of Belarus until 2020 (hereinafter – Strategy) agreed with all concerned state and local authorities and approved by MNREP decision No. 19-P dated 28.02.2013.</w:t>
      </w:r>
    </w:p>
    <w:p w:rsidR="008971AB" w:rsidRDefault="008971AB" w:rsidP="00657C6A">
      <w:pPr>
        <w:pStyle w:val="SIMPLE"/>
        <w:rPr>
          <w:lang w:val="en-US"/>
        </w:rPr>
      </w:pPr>
      <w:r>
        <w:rPr>
          <w:lang w:val="en-US"/>
        </w:rPr>
        <w:t>We ask you to make the Strategy available to all stakeholders (subordinate organizations) in order to identify any production processes involving the use of ozone depleting substances (hereinafter – ODS), develop measures to introduce ozone-safe, ODS recycling and restoration technologies, and phase out ODS in compliance with the commitments of the Republic of Belarus and goals set in the Strategy.</w:t>
      </w:r>
    </w:p>
    <w:p w:rsidR="008971AB" w:rsidRDefault="008971AB" w:rsidP="00E01466">
      <w:pPr>
        <w:pStyle w:val="SIMPLE"/>
        <w:rPr>
          <w:lang w:val="en-US"/>
        </w:rPr>
      </w:pPr>
      <w:r>
        <w:rPr>
          <w:lang w:val="en-US"/>
        </w:rPr>
        <w:t xml:space="preserve">In addition, we inform you that the Strategy has been posted on MNREP website </w:t>
      </w:r>
      <w:hyperlink r:id="rId5" w:history="1">
        <w:r w:rsidRPr="001D4936">
          <w:rPr>
            <w:rStyle w:val="Hyperlink"/>
            <w:lang w:val="en-US"/>
          </w:rPr>
          <w:t>http://minpriroda.gov.by</w:t>
        </w:r>
      </w:hyperlink>
      <w:r>
        <w:rPr>
          <w:lang w:val="en-US"/>
        </w:rPr>
        <w:t xml:space="preserve"> in “Legislation” section.</w:t>
      </w:r>
    </w:p>
    <w:p w:rsidR="008971AB" w:rsidRDefault="008971AB" w:rsidP="00657C6A">
      <w:pPr>
        <w:pStyle w:val="SIMPLE"/>
        <w:rPr>
          <w:lang w:val="en-US"/>
        </w:rPr>
      </w:pPr>
      <w:r>
        <w:rPr>
          <w:lang w:val="en-US"/>
        </w:rPr>
        <w:t>Enclosure: 1 copy of HCFC Phase-Out Strategy of the Republic of Belarus until 2020 (23 pages)</w:t>
      </w:r>
    </w:p>
    <w:p w:rsidR="008971AB" w:rsidRDefault="008971AB" w:rsidP="00657C6A">
      <w:pPr>
        <w:pStyle w:val="SIMPLE"/>
        <w:rPr>
          <w:lang w:val="en-US"/>
        </w:rPr>
      </w:pPr>
    </w:p>
    <w:p w:rsidR="008971AB" w:rsidRDefault="008971AB" w:rsidP="00657C6A">
      <w:pPr>
        <w:pStyle w:val="SIMPLE"/>
        <w:rPr>
          <w:lang w:val="en-US"/>
        </w:rPr>
      </w:pPr>
      <w:r>
        <w:rPr>
          <w:lang w:val="en-US"/>
        </w:rPr>
        <w:t xml:space="preserve">First Deputy Minister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V.V. Kulik  </w:t>
      </w:r>
    </w:p>
    <w:p w:rsidR="008971AB" w:rsidRDefault="008971AB" w:rsidP="00657C6A">
      <w:pPr>
        <w:pStyle w:val="SIMPLE"/>
        <w:rPr>
          <w:lang w:val="en-US"/>
        </w:rPr>
      </w:pPr>
      <w:r>
        <w:rPr>
          <w:lang w:val="en-US"/>
        </w:rPr>
        <w:t>12 Pipilchuk 200 47 57</w:t>
      </w:r>
    </w:p>
    <w:p w:rsidR="008971AB" w:rsidRDefault="008971AB" w:rsidP="00657C6A">
      <w:pPr>
        <w:pStyle w:val="SIMPLE"/>
        <w:rPr>
          <w:lang w:val="en-US"/>
        </w:rPr>
      </w:pPr>
      <w:r>
        <w:rPr>
          <w:lang w:val="en-US"/>
        </w:rPr>
        <w:t>12 Boldyreva 200 71 19</w:t>
      </w:r>
    </w:p>
    <w:p w:rsidR="008971AB" w:rsidRDefault="008971AB" w:rsidP="00657C6A">
      <w:pPr>
        <w:pStyle w:val="SIMPLE"/>
        <w:rPr>
          <w:lang w:val="en-US"/>
        </w:rPr>
      </w:pPr>
      <w:r>
        <w:rPr>
          <w:lang w:val="en-US"/>
        </w:rPr>
        <w:t>19.03.2013 My documents/Letters/ODS Strategy</w:t>
      </w: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Pr="0064390A" w:rsidRDefault="008971AB" w:rsidP="00657C6A">
      <w:pPr>
        <w:pStyle w:val="SIMPLE"/>
        <w:rPr>
          <w:lang w:val="en-US"/>
        </w:rPr>
      </w:pPr>
    </w:p>
    <w:p w:rsidR="008971AB" w:rsidRPr="0064390A"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Default="008971AB" w:rsidP="00657C6A">
      <w:pPr>
        <w:pStyle w:val="SIMPLE"/>
        <w:rPr>
          <w:lang w:val="en-US"/>
        </w:rPr>
      </w:pPr>
    </w:p>
    <w:p w:rsidR="008971AB" w:rsidRPr="007C7BD5" w:rsidRDefault="008971AB" w:rsidP="00657C6A">
      <w:pPr>
        <w:pStyle w:val="SIMPLE"/>
        <w:rPr>
          <w:b/>
          <w:bCs/>
          <w:lang w:val="en-US"/>
        </w:rPr>
      </w:pPr>
      <w:r w:rsidRPr="007C7BD5">
        <w:rPr>
          <w:b/>
          <w:bCs/>
          <w:lang w:val="en-US"/>
        </w:rPr>
        <w:t>MAILING LIST</w:t>
      </w:r>
    </w:p>
    <w:p w:rsidR="008971AB" w:rsidRPr="007C7BD5" w:rsidRDefault="008971AB" w:rsidP="00657C6A">
      <w:pPr>
        <w:pStyle w:val="SIMPLE"/>
        <w:rPr>
          <w:b/>
          <w:bCs/>
          <w:lang w:val="en-US"/>
        </w:rPr>
      </w:pPr>
      <w:r w:rsidRPr="007C7BD5">
        <w:rPr>
          <w:b/>
          <w:bCs/>
          <w:lang w:val="en-US"/>
        </w:rPr>
        <w:t>Letters dated _.03.2013 No.___________</w:t>
      </w:r>
    </w:p>
    <w:p w:rsidR="008971AB" w:rsidRPr="007C7BD5" w:rsidRDefault="008971AB" w:rsidP="00657C6A">
      <w:pPr>
        <w:pStyle w:val="SIMPLE"/>
        <w:rPr>
          <w:b/>
          <w:bCs/>
          <w:lang w:val="en-US"/>
        </w:rPr>
      </w:pPr>
    </w:p>
    <w:p w:rsidR="008971AB" w:rsidRPr="007C7BD5" w:rsidRDefault="008971AB" w:rsidP="00657C6A">
      <w:pPr>
        <w:pStyle w:val="SIMPLE"/>
        <w:rPr>
          <w:b/>
          <w:bCs/>
          <w:lang w:val="en-US"/>
        </w:rPr>
      </w:pPr>
      <w:r w:rsidRPr="007C7BD5">
        <w:rPr>
          <w:b/>
          <w:bCs/>
          <w:lang w:val="en-US"/>
        </w:rPr>
        <w:t>NAME OF THE AGENCY                                                       NO. OF COPIES</w:t>
      </w:r>
    </w:p>
    <w:p w:rsidR="008971AB" w:rsidRDefault="008971AB" w:rsidP="00657C6A">
      <w:pPr>
        <w:pStyle w:val="SIMPLE"/>
        <w:rPr>
          <w:lang w:val="en-US"/>
        </w:rPr>
      </w:pPr>
    </w:p>
    <w:tbl>
      <w:tblPr>
        <w:tblW w:w="0" w:type="auto"/>
        <w:tblLook w:val="00A0"/>
      </w:tblPr>
      <w:tblGrid>
        <w:gridCol w:w="4672"/>
        <w:gridCol w:w="4673"/>
      </w:tblGrid>
      <w:tr w:rsidR="008971AB" w:rsidRPr="00740A1E" w:rsidTr="00740A1E">
        <w:tc>
          <w:tcPr>
            <w:tcW w:w="4672" w:type="dxa"/>
          </w:tcPr>
          <w:p w:rsidR="008971AB" w:rsidRPr="00740A1E" w:rsidRDefault="008971AB" w:rsidP="00657C6A">
            <w:pPr>
              <w:pStyle w:val="SIMPLE"/>
              <w:rPr>
                <w:lang w:val="en-US"/>
              </w:rPr>
            </w:pPr>
            <w:r w:rsidRPr="00740A1E">
              <w:rPr>
                <w:lang w:val="en-US"/>
              </w:rPr>
              <w:t>Ministry of Architecture and Construction</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Healthcare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Defense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Education</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Industry</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Communications and Informatization</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Agriculture and Food</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Trade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 xml:space="preserve">Ministry of Transport and Communications </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Emergency Situations</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Ministry of Energy</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State Military and Industrial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State Committee for Standardization</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 xml:space="preserve">State Border Committee </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State Customs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Belneftekhim Corporate Group</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Belgospischeprom Corporate Group</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Bellegprom Corporate Group</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Bellesbumprom Corporate Group</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Brest Regional Executive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Vitebsk Regional Executive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Grodno Regional Executive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Gomel Regional Executive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Mogilev Regional Executive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657C6A">
            <w:pPr>
              <w:pStyle w:val="SIMPLE"/>
              <w:rPr>
                <w:lang w:val="en-US"/>
              </w:rPr>
            </w:pPr>
            <w:r w:rsidRPr="00740A1E">
              <w:rPr>
                <w:lang w:val="en-US"/>
              </w:rPr>
              <w:t>Minsk Regional Executive Committee</w:t>
            </w:r>
          </w:p>
        </w:tc>
        <w:tc>
          <w:tcPr>
            <w:tcW w:w="4673" w:type="dxa"/>
          </w:tcPr>
          <w:p w:rsidR="008971AB" w:rsidRPr="00740A1E" w:rsidRDefault="008971AB" w:rsidP="00657C6A">
            <w:pPr>
              <w:pStyle w:val="SIMPLE"/>
              <w:rPr>
                <w:lang w:val="en-US"/>
              </w:rPr>
            </w:pPr>
            <w:r w:rsidRPr="00740A1E">
              <w:rPr>
                <w:lang w:val="en-US"/>
              </w:rPr>
              <w:t>1</w:t>
            </w:r>
          </w:p>
        </w:tc>
      </w:tr>
      <w:tr w:rsidR="008971AB" w:rsidRPr="00740A1E" w:rsidTr="00740A1E">
        <w:tc>
          <w:tcPr>
            <w:tcW w:w="4672" w:type="dxa"/>
          </w:tcPr>
          <w:p w:rsidR="008971AB" w:rsidRPr="00740A1E" w:rsidRDefault="008971AB" w:rsidP="00D94B3E">
            <w:pPr>
              <w:pStyle w:val="SIMPLE"/>
              <w:rPr>
                <w:lang w:val="en-US"/>
              </w:rPr>
            </w:pPr>
            <w:r w:rsidRPr="00740A1E">
              <w:rPr>
                <w:lang w:val="en-US"/>
              </w:rPr>
              <w:t>Minsk Municipal Executive Committee</w:t>
            </w:r>
          </w:p>
        </w:tc>
        <w:tc>
          <w:tcPr>
            <w:tcW w:w="4673" w:type="dxa"/>
          </w:tcPr>
          <w:p w:rsidR="008971AB" w:rsidRPr="00740A1E" w:rsidRDefault="008971AB" w:rsidP="00657C6A">
            <w:pPr>
              <w:pStyle w:val="SIMPLE"/>
              <w:rPr>
                <w:lang w:val="en-US"/>
              </w:rPr>
            </w:pPr>
            <w:r w:rsidRPr="00740A1E">
              <w:rPr>
                <w:lang w:val="en-US"/>
              </w:rPr>
              <w:t>1</w:t>
            </w:r>
          </w:p>
        </w:tc>
      </w:tr>
    </w:tbl>
    <w:p w:rsidR="008971AB" w:rsidRDefault="008971AB" w:rsidP="00657C6A">
      <w:pPr>
        <w:pStyle w:val="SIMPLE"/>
        <w:rPr>
          <w:lang w:val="en-US"/>
        </w:rPr>
      </w:pPr>
    </w:p>
    <w:p w:rsidR="008971AB" w:rsidRPr="00C839EA" w:rsidRDefault="008971AB" w:rsidP="00C839EA">
      <w:pPr>
        <w:pStyle w:val="SIMPLE"/>
        <w:rPr>
          <w:lang w:val="en-US"/>
        </w:rPr>
      </w:pPr>
      <w:bookmarkStart w:id="0" w:name="_GoBack"/>
      <w:bookmarkEnd w:id="0"/>
    </w:p>
    <w:sectPr w:rsidR="008971AB" w:rsidRPr="00C839EA" w:rsidSect="00482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E4DF2"/>
    <w:multiLevelType w:val="hybridMultilevel"/>
    <w:tmpl w:val="B94AFE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9EA"/>
    <w:rsid w:val="001D4936"/>
    <w:rsid w:val="00270B8E"/>
    <w:rsid w:val="004060B0"/>
    <w:rsid w:val="004823F5"/>
    <w:rsid w:val="004A7BEA"/>
    <w:rsid w:val="004D775B"/>
    <w:rsid w:val="005F2A75"/>
    <w:rsid w:val="00627888"/>
    <w:rsid w:val="0064390A"/>
    <w:rsid w:val="00657C6A"/>
    <w:rsid w:val="006920CD"/>
    <w:rsid w:val="006D7CF6"/>
    <w:rsid w:val="00740A1E"/>
    <w:rsid w:val="007C7BD5"/>
    <w:rsid w:val="007F0052"/>
    <w:rsid w:val="00845CD7"/>
    <w:rsid w:val="008971AB"/>
    <w:rsid w:val="00906D88"/>
    <w:rsid w:val="00931753"/>
    <w:rsid w:val="00A31D30"/>
    <w:rsid w:val="00AB6C48"/>
    <w:rsid w:val="00B52A40"/>
    <w:rsid w:val="00BE6508"/>
    <w:rsid w:val="00C739DA"/>
    <w:rsid w:val="00C826D7"/>
    <w:rsid w:val="00C839EA"/>
    <w:rsid w:val="00C8790C"/>
    <w:rsid w:val="00C931CB"/>
    <w:rsid w:val="00D67369"/>
    <w:rsid w:val="00D94B3E"/>
    <w:rsid w:val="00E01466"/>
    <w:rsid w:val="00E1719B"/>
    <w:rsid w:val="00EB1AE6"/>
    <w:rsid w:val="00F0791B"/>
    <w:rsid w:val="00F124A9"/>
    <w:rsid w:val="00F26BC4"/>
    <w:rsid w:val="00F433B2"/>
    <w:rsid w:val="00F90205"/>
    <w:rsid w:val="00F912AF"/>
    <w:rsid w:val="00FC2B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F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PLE">
    <w:name w:val="SIMPLE"/>
    <w:basedOn w:val="Normal"/>
    <w:uiPriority w:val="99"/>
    <w:rsid w:val="00C931CB"/>
    <w:pPr>
      <w:spacing w:after="0" w:line="240" w:lineRule="auto"/>
      <w:contextualSpacing/>
    </w:pPr>
    <w:rPr>
      <w:rFonts w:ascii="Times New Roman" w:hAnsi="Times New Roman" w:cs="Times New Roman"/>
      <w:sz w:val="24"/>
      <w:szCs w:val="24"/>
    </w:rPr>
  </w:style>
  <w:style w:type="character" w:styleId="Hyperlink">
    <w:name w:val="Hyperlink"/>
    <w:basedOn w:val="DefaultParagraphFont"/>
    <w:uiPriority w:val="99"/>
    <w:rsid w:val="00D67369"/>
    <w:rPr>
      <w:rFonts w:cs="Times New Roman"/>
      <w:color w:val="0563C1"/>
      <w:u w:val="single"/>
    </w:rPr>
  </w:style>
  <w:style w:type="table" w:styleId="TableGrid">
    <w:name w:val="Table Grid"/>
    <w:basedOn w:val="TableNormal"/>
    <w:uiPriority w:val="99"/>
    <w:rsid w:val="00A31D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priroda.gov.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612</Words>
  <Characters>3494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Natural Resources and Environmental Protection of the Republic of Belarus</dc:title>
  <dc:subject/>
  <dc:creator>Roman E. Yaniv</dc:creator>
  <cp:keywords/>
  <dc:description/>
  <cp:lastModifiedBy>Admin</cp:lastModifiedBy>
  <cp:revision>2</cp:revision>
  <dcterms:created xsi:type="dcterms:W3CDTF">2013-12-09T13:52:00Z</dcterms:created>
  <dcterms:modified xsi:type="dcterms:W3CDTF">2013-12-09T13:52:00Z</dcterms:modified>
</cp:coreProperties>
</file>